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CXApp Inc.</w:t>
      </w:r>
    </w:p>
    <w:p>
      <w:pPr>
        <w:spacing w:after="0" w:line="4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17" w:lineRule="exact"/>
        <w:rPr>
          <w:sz w:val="24"/>
          <w:szCs w:val="24"/>
          <w:color w:val="auto"/>
        </w:rPr>
      </w:pPr>
    </w:p>
    <w:p>
      <w:pPr>
        <w:jc w:val="right"/>
        <w:ind w:right="1699"/>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52"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FF0000"/>
        </w:rPr>
        <w:t>PRELIMINARY PROXY STATEMENT – SUBJECT TO COMPLETION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rPr>
        <w:t>DATED 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142875</wp:posOffset>
            </wp:positionV>
            <wp:extent cx="1714500"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NOTICE OF THE 2026 ANNUAL MEETING OF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CXApp Inc. (“CXApp” or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2026 Annual Meeting of Stockholders (the “Annual Meeting”) of CXApp Inc. will be held in a virtual format only, on June 16, 2026, at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 Pacific Time, for the following purposes as more fully described in the proxy statement:</w:t>
      </w:r>
    </w:p>
    <w:p>
      <w:pPr>
        <w:sectPr>
          <w:pgSz w:w="11900" w:h="16838" w:orient="portrait"/>
          <w:cols w:equalWidth="0" w:num="1">
            <w:col w:w="11240"/>
          </w:cols>
          <w:pgMar w:left="320" w:top="792" w:right="339" w:bottom="1440" w:gutter="0" w:footer="0" w:header="0"/>
        </w:sectPr>
      </w:pPr>
    </w:p>
    <w:p>
      <w:pPr>
        <w:spacing w:after="0" w:line="203" w:lineRule="exact"/>
        <w:rPr>
          <w:sz w:val="20"/>
          <w:szCs w:val="20"/>
          <w:color w:val="auto"/>
        </w:rPr>
      </w:pPr>
    </w:p>
    <w:p>
      <w:pPr>
        <w:jc w:val="both"/>
        <w:ind w:left="980" w:hanging="324"/>
        <w:spacing w:after="0" w:line="291" w:lineRule="auto"/>
        <w:tabs>
          <w:tab w:leader="none" w:pos="9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Election of Directors. </w:t>
      </w:r>
      <w:r>
        <w:rPr>
          <w:rFonts w:ascii="Times New Roman" w:cs="Times New Roman" w:eastAsia="Times New Roman" w:hAnsi="Times New Roman"/>
          <w:sz w:val="17"/>
          <w:szCs w:val="17"/>
          <w:color w:val="auto"/>
        </w:rPr>
        <w:t>the fiscal year ending resignation or removal;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hanging="6"/>
        <w:spacing w:after="0" w:line="282" w:lineRule="auto"/>
        <w:rPr>
          <w:sz w:val="20"/>
          <w:szCs w:val="20"/>
          <w:color w:val="auto"/>
        </w:rPr>
      </w:pPr>
      <w:r>
        <w:rPr>
          <w:rFonts w:ascii="Times New Roman" w:cs="Times New Roman" w:eastAsia="Times New Roman" w:hAnsi="Times New Roman"/>
          <w:sz w:val="18"/>
          <w:szCs w:val="18"/>
          <w:color w:val="auto"/>
        </w:rPr>
        <w:t>To elect Khurram Sheikh as a Class III director to serve until the date of the annual meeting of stockholders following December 31, 2028, or until his successor is duly elected and qualified, or until his earlier death, disqualification,</w:t>
      </w:r>
    </w:p>
    <w:p>
      <w:pPr>
        <w:spacing w:after="0" w:line="373" w:lineRule="exact"/>
        <w:rPr>
          <w:sz w:val="20"/>
          <w:szCs w:val="20"/>
          <w:color w:val="auto"/>
        </w:rPr>
      </w:pPr>
    </w:p>
    <w:p>
      <w:pPr>
        <w:sectPr>
          <w:pgSz w:w="11900" w:h="16838" w:orient="portrait"/>
          <w:cols w:equalWidth="0" w:num="2">
            <w:col w:w="2660" w:space="0"/>
            <w:col w:w="8580"/>
          </w:cols>
          <w:pgMar w:left="320" w:top="792" w:right="339" w:bottom="1440" w:gutter="0" w:footer="0" w:header="0"/>
          <w:type w:val="continuous"/>
        </w:sectPr>
      </w:pPr>
    </w:p>
    <w:p>
      <w:pPr>
        <w:jc w:val="both"/>
        <w:ind w:left="980" w:hanging="324"/>
        <w:spacing w:after="0" w:line="26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Election of Directors. </w:t>
      </w:r>
      <w:r>
        <w:rPr>
          <w:rFonts w:ascii="Times New Roman" w:cs="Times New Roman" w:eastAsia="Times New Roman" w:hAnsi="Times New Roman"/>
          <w:sz w:val="18"/>
          <w:szCs w:val="18"/>
          <w:color w:val="auto"/>
        </w:rPr>
        <w:t>To elect George Mathai as a Class III director to serve until the date of the annual meeting of stockholders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fiscal year ending December 31, 2028, or until his successor is duly elected and qualified, or until his earlier death, disqualification, resignation, or removal;</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Nasdaq 20% Proposal. </w:t>
      </w:r>
      <w:r>
        <w:rPr>
          <w:rFonts w:ascii="Times New Roman" w:cs="Times New Roman" w:eastAsia="Times New Roman" w:hAnsi="Times New Roman"/>
          <w:sz w:val="18"/>
          <w:szCs w:val="18"/>
          <w:color w:val="auto"/>
        </w:rPr>
        <w:t>To approve, in accordance with Nasdaq Listing Rule 5635(d), the issuance of shares of common stock (or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into or exercisable for common stock) in one or more private placements in excess of 20% of our outstanding common stock (the “Nasdaq 20% Proposal”);</w:t>
      </w:r>
    </w:p>
    <w:p>
      <w:pPr>
        <w:spacing w:after="0" w:line="197"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Reverse Stock Split and Charter Amendment. </w:t>
      </w:r>
      <w:r>
        <w:rPr>
          <w:rFonts w:ascii="Times New Roman" w:cs="Times New Roman" w:eastAsia="Times New Roman" w:hAnsi="Times New Roman"/>
          <w:sz w:val="18"/>
          <w:szCs w:val="18"/>
          <w:color w:val="auto"/>
        </w:rPr>
        <w:t>To authorize the Board, at its discretion, to approve (i) a reverse stock split of our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(“Reverse Stock Split”) with a ratio between 1-for-5 and 1-for-100 (the “Ratio”), for the primary purpose of maintaining our listing on The Nasdaq Stock Market LLC (“Nasdaq”), and (ii) the amendment of our certificate of incorporation (the “Charter Amendment”) to reflect such Reverse Stock Split;</w:t>
      </w:r>
    </w:p>
    <w:p>
      <w:pPr>
        <w:spacing w:after="0" w:line="2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Say-on-Pay. </w:t>
      </w: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22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Say-on-Frequency. </w:t>
      </w:r>
      <w:r>
        <w:rPr>
          <w:rFonts w:ascii="Times New Roman" w:cs="Times New Roman" w:eastAsia="Times New Roman" w:hAnsi="Times New Roman"/>
          <w:sz w:val="18"/>
          <w:szCs w:val="18"/>
          <w:color w:val="auto"/>
        </w:rPr>
        <w:t>To approve, on a non-binding advisory basis, the frequency of future advisory votes to approve our named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compensation;</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Auditor Ratification. </w:t>
      </w:r>
      <w:r>
        <w:rPr>
          <w:rFonts w:ascii="Times New Roman" w:cs="Times New Roman" w:eastAsia="Times New Roman" w:hAnsi="Times New Roman"/>
          <w:sz w:val="18"/>
          <w:szCs w:val="18"/>
          <w:color w:val="auto"/>
        </w:rPr>
        <w:t>To ratify the selection of WithumSmith+Brown, PC as our independent registered public accounting firm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2026; and</w:t>
      </w:r>
    </w:p>
    <w:p>
      <w:pPr>
        <w:spacing w:after="0" w:line="18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Business. </w:t>
      </w:r>
      <w:r>
        <w:rPr>
          <w:rFonts w:ascii="Times New Roman" w:cs="Times New Roman" w:eastAsia="Times New Roman" w:hAnsi="Times New Roman"/>
          <w:sz w:val="18"/>
          <w:szCs w:val="18"/>
          <w:color w:val="auto"/>
        </w:rPr>
        <w:t>To transact any other business that may properly come before the Annual Meeting or its adjournments.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Only stockholders of record as of the close of business on April 17, 2026, the record date, are entitled to receive notice of the Annual Meeting and to vote at the Annual Meeting or any adjournments or postponements thereof.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cordially invite you to attend the virtual Annual Meeting. Even if you plan to attend the Annual Meeting, we encourage you to vote your shares in advance using one of the methods described in this proxy statement to ensure that your vote will be represented at the Annual Meeting. To attend, vote, and submit questions at the Annual Meeting, please log in to www.virtualshareholdermeeting.com/CXAI2026 using the control number on your proxy card or voting instruction form. You may revoke your proxy and reclaim your right to vote at any time prior to its use at the Annual Meeting. The proxy statement includes information on what you will need to attend the virtual Annual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Khurram P. Sheikh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Khurram P. Sheikh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proxy statement is dated [●], 2026, and a Notice of Internet Availability of Proxy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Materials is first being mailed to our stockholders on or about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00" w:type="dxa"/>
            <w:vAlign w:val="bottom"/>
            <w:gridSpan w:val="12"/>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89"/>
        </w:trPr>
        <w:tc>
          <w:tcPr>
            <w:tcW w:w="10240" w:type="dxa"/>
            <w:vAlign w:val="bottom"/>
            <w:tcBorders>
              <w:top w:val="single" w:sz="8" w:color="CCEEFF"/>
            </w:tcBorders>
            <w:gridSpan w:val="24"/>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INTERNET AVAILABILITY OF PROXY MATERIALS</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1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PROXY STATEMENT</w:t>
            </w:r>
          </w:p>
        </w:tc>
        <w:tc>
          <w:tcPr>
            <w:tcW w:w="6100" w:type="dxa"/>
            <w:vAlign w:val="bottom"/>
            <w:tcBorders>
              <w:top w:val="single" w:sz="8" w:color="CCEEFF"/>
            </w:tcBorders>
            <w:gridSpan w:val="12"/>
          </w:tcPr>
          <w:p>
            <w:pPr>
              <w:spacing w:after="0"/>
              <w:rPr>
                <w:sz w:val="15"/>
                <w:szCs w:val="15"/>
                <w:color w:val="auto"/>
              </w:rPr>
            </w:pPr>
          </w:p>
        </w:tc>
        <w:tc>
          <w:tcPr>
            <w:tcW w:w="10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440" w:type="dxa"/>
            <w:vAlign w:val="bottom"/>
            <w:tcBorders>
              <w:bottom w:val="single" w:sz="8" w:color="CCEEFF"/>
            </w:tcBorders>
            <w:gridSpan w:val="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INFORMATION ABOUT THE ANNUAL MEETING</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BOARD OF DIRECTORS AND CORPORATE GOVERNANCE</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76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BENEFICIAL OWNERSHIP OF SECURITIES</w:t>
            </w:r>
          </w:p>
        </w:tc>
        <w:tc>
          <w:tcPr>
            <w:tcW w:w="5480" w:type="dxa"/>
            <w:vAlign w:val="bottom"/>
            <w:tcBorders>
              <w:top w:val="single" w:sz="8" w:color="CCEEFF"/>
            </w:tcBorders>
            <w:gridSpan w:val="11"/>
          </w:tcPr>
          <w:p>
            <w:pPr>
              <w:spacing w:after="0"/>
              <w:rPr>
                <w:sz w:val="15"/>
                <w:szCs w:val="15"/>
                <w:color w:val="auto"/>
              </w:rPr>
            </w:pPr>
          </w:p>
        </w:tc>
        <w:tc>
          <w:tcPr>
            <w:tcW w:w="10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0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4640" w:type="dxa"/>
            <w:vAlign w:val="bottom"/>
            <w:tcBorders>
              <w:top w:val="single" w:sz="8" w:color="CCEEFF"/>
            </w:tcBorders>
            <w:gridSpan w:val="10"/>
          </w:tcPr>
          <w:p>
            <w:pPr>
              <w:spacing w:after="0"/>
              <w:rPr>
                <w:sz w:val="15"/>
                <w:szCs w:val="15"/>
                <w:color w:val="auto"/>
              </w:rPr>
            </w:pPr>
          </w:p>
        </w:tc>
        <w:tc>
          <w:tcPr>
            <w:tcW w:w="10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PAY VERSUS PERFORMANCE</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AUDIT COMMITTEE REPORT</w:t>
            </w:r>
          </w:p>
        </w:tc>
        <w:tc>
          <w:tcPr>
            <w:tcW w:w="7800" w:type="dxa"/>
            <w:vAlign w:val="bottom"/>
            <w:tcBorders>
              <w:top w:val="single" w:sz="8" w:color="CCEEFF"/>
            </w:tcBorders>
            <w:gridSpan w:val="19"/>
          </w:tcPr>
          <w:p>
            <w:pPr>
              <w:spacing w:after="0"/>
              <w:rPr>
                <w:sz w:val="15"/>
                <w:szCs w:val="15"/>
                <w:color w:val="auto"/>
              </w:rPr>
            </w:pPr>
          </w:p>
        </w:tc>
        <w:tc>
          <w:tcPr>
            <w:tcW w:w="10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6880" w:type="dxa"/>
            <w:vAlign w:val="bottom"/>
            <w:tcBorders>
              <w:bottom w:val="single" w:sz="8" w:color="CCEEFF"/>
            </w:tcBorders>
            <w:gridSpan w:val="1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PROPOSAL 2: ELECTION OF DIRECTORS</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3: APPROVAL OF ISSUANCE OF SHARES UNDER NASDAQ 20% RULE</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PROPOSAL 4: APPROVAL OF THE REVERSE STOCK SPLIT AND CHARTER AMENDMENT</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5: NON-BINDING ADVISORY VOTE TO APPROVE EXECUTIVE COMPENSATION</w:t>
            </w:r>
          </w:p>
        </w:tc>
        <w:tc>
          <w:tcPr>
            <w:tcW w:w="274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440" w:type="dxa"/>
            <w:vAlign w:val="bottom"/>
            <w:tcBorders>
              <w:bottom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6: NON-BINDING ADVISORY VOTE ON THE FREQUENCY OF FUTURE ADVISORY VOTES TO APPROVE</w:t>
            </w:r>
          </w:p>
        </w:tc>
        <w:tc>
          <w:tcPr>
            <w:tcW w:w="80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008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EE"/>
              </w:rPr>
              <w:t>NAMED EXECUTIVE OFFICER COMPENSATION</w:t>
            </w:r>
          </w:p>
        </w:tc>
        <w:tc>
          <w:tcPr>
            <w:tcW w:w="10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2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7: RATIFICATION OF THE SELECTION OF OUR INDEPENDENT REGISTERED PUBLIC ACCOUNTING FIRM</w:t>
            </w:r>
          </w:p>
        </w:tc>
        <w:tc>
          <w:tcPr>
            <w:tcW w:w="6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OTHER MATTERS</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HOUSEHOLDING; AVAILABILITY OF ANNUAL REPORT AND PROXY STATEMENT</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72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ATTENDING THE 2026 ANNUAL MEETING OF STOCKHOLDERS OF CXAPP INC.</w:t>
            </w:r>
          </w:p>
        </w:tc>
        <w:tc>
          <w:tcPr>
            <w:tcW w:w="3520" w:type="dxa"/>
            <w:vAlign w:val="bottom"/>
            <w:tcBorders>
              <w:top w:val="single" w:sz="8" w:color="CCEEFF"/>
            </w:tcBorders>
            <w:gridSpan w:val="6"/>
          </w:tcPr>
          <w:p>
            <w:pPr>
              <w:spacing w:after="0"/>
              <w:rPr>
                <w:sz w:val="15"/>
                <w:szCs w:val="15"/>
                <w:color w:val="auto"/>
              </w:rPr>
            </w:pPr>
          </w:p>
        </w:tc>
        <w:tc>
          <w:tcPr>
            <w:tcW w:w="10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ANNEX A – FORM OF PROXY CARD</w:t>
            </w:r>
          </w:p>
        </w:tc>
        <w:tc>
          <w:tcPr>
            <w:tcW w:w="7260" w:type="dxa"/>
            <w:vAlign w:val="bottom"/>
            <w:tcBorders>
              <w:bottom w:val="single" w:sz="8" w:color="CCEEFF"/>
            </w:tcBorders>
            <w:gridSpan w:val="1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A-1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ANNEX B – CERTIFICATE OF AMENDMENT TO CERTIFICATE OF INCORPORATION OF CXAPP INC.</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B-1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is dated [●], 2026, and a Notice of Internet Availability of Proxy Materials is first being mailed to our stockholders on or about [●], 2026. Certain stockholders, in accordance with their prior requests, may have received an email with instructions on how to access our proxy materials and vote via the Internet, or have been mailed paper copies of our proxy materials and a proxy card or voting form.</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Notice of Internet Availability of Proxy Materials will identify the website where the proxy materials will be made available; the date, the time and location of the Annual Meeting; the matters to be acted upon at the meeting and our board of directors’ recommendations with regard to each matter; a toll-free telephone number, an e-mail address, and a website where stockholders can request a paper or e-mail copy of this proxy statement; our Annual Report on Form 10-K for the year ended December 31, 2025 (our “Form 10-K”), and a form of proxy relating to the Annual Meeting; information on how to access the form of proxy; and information on how to participate in the meeting and vote in person online.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Stockholder Meeting to be Held on June 16, 2026</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Form 10-K, and this proxy statement are available at www.virtualshareholdermeeting.com/CXAI2026.</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2917190</wp:posOffset>
            </wp:positionH>
            <wp:positionV relativeFrom="page">
              <wp:posOffset>500380</wp:posOffset>
            </wp:positionV>
            <wp:extent cx="1714500"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14500" cy="582930"/>
                    </a:xfrm>
                    <a:prstGeom prst="rect">
                      <a:avLst/>
                    </a:prstGeom>
                    <a:noFill/>
                  </pic:spPr>
                </pic:pic>
              </a:graphicData>
            </a:graphic>
          </wp:anchor>
        </w:drawing>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proxy statement contains information relating to the solicitation of proxies by the Board of Directors (the “Board”) of CXApp Inc. (“CXApp” or the “Company”) for use at our 2026 Annual Meeting of Stockholders (the “Annual Meeting”) or any adjournment or postponement thereof. Our Annual Meeting will be held in virtual format only, on June 16, 2026, at 2 P.M., Pacific Time. To attend, vote and submit questions at the Annual Meeting, please log in to www.virtualshareholdermeeting.com/CXAI2026 using the control number on your proxy card or voting instruction form.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Only stockholders of record as of the close of business on April 17, 2026 (the “record date”) are entitled to receive notice of the Annual Meeting and to vote during the Annual Meeting or any adjournments or postponements of the Annual Meeting. As of the record date, there were 69,015,433 shares of our common stock, par value $0.0001 (our “common stock”), issued and outstanding and entitled to vote at the Annual Meeting. Our principal executive offices are located at Four Palo Alto Square, Suite 200, 3000 El Camino Real, Palo Alto, California, 94306. This proxy statement is dated [●], 2026, and a Notice of Internet Availability of Proxy Materials is first being mailed to our stockholders on or about [●],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CXApp</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former blank check company incorporated on July 20, 2020, under the name KINS Technology Group, Inc. (“KINS”) as a Delaware corporation and formed for the purpose of effecting a merger, capital stock exchange, asset acquisition, stock purchase, reorganization or similar business combination with one or more businesses. On March 14, 2023, KINS consummated the previously announced merger pursuant to an Agreement and Plan of Merger, dated September 25, 2022 (the “Merger Agreement”), by and among KINS, KINS Merger Sub, Inc., a Delaware corporation and a direct wholly owned subsidiary of KINS (“Merger Sub”), CXApp Holding Corp., a Delaware corporation (“Legacy CXApp”) and Inpixon, a Nevada corporation and parent company of Legacy CXApp (“Inpixon”). As contemplated by the Merger Agreement, Merger Sub merged with and into Legacy CXApp, the separate corporate existence of Merger Sub ceased and Legacy CXApp survived as a wholly owned subsidiary of KINS (the “Merger”). Following the closing of the Merger (“Closing”), KINS changed its name to CXApp Inc.</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proxy statement contains statements that are forward-looking within the meaning of the federal securities laws, including safe harbor provisions under the United States Private Securities Litigation Reform Act of 1995, and as such are not historical facts. This includes, without limitation, statements regarding our financial position, capital structure, indebtedness and business strategy, and plans and objectives of our management for future operations, as well as statements regarding growth, anticipated demand for our products and services and our business prospects. These statements constitute projections, forecasts and forward-looking statements, and are not guarantees of future performance. Such statements can be identified by the fact that they do not relate strictly to historical or current facts. When used in this proxy statement,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we discuss our strategies or plans, we are making projections, forecasts or forward-looking statements. Such statements are based on the beliefs of, as well as assumptions made by and information currently available to, our management.</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estimates, assumptions, projections, forecasts and management’s beliefs, which are subject to change. There can be no assurance that future developments affecting our company will be those that we have anticipated. Forward-looking statements involve a number of risks, uncertainties and other factors, many of which are beyond our control and are difficult to predict. Should one or more of these risks or uncertainties materialize, or should any of the expectations, estimates, assumptions, projections, forecasts or beliefs prove incorrect, actual results may differ materially from what is expressed or forecasted in such forward-looking statements. Such risks include, but are not limited to: actual or anticipated variations in our quarterly operating results; results of operations that vary from the expectations of our company or of securities analysts and investors; changes in financial estimates by our management or by any securities analysts who might cover our securities; conditions or trends in the industries in which we operate; changes in the market valuations of similar companies; changes in the markets in which we operate; stock market price and volume fluctuations of comparable companies; disruptions to our business relationships, performance, current plans, employee retention and business generally; publication of research reports about our company or our industry or positive or negative recommendations or withdrawal of research coverage by securities analysts; announcements by our company or our competitors of significant contracts, acquisitions, joint marketing relationships, joint ventures, capital commitments, strategic partnerships or divestitures; investors’ general perceptions of our company and our business; announcements by third parties or the outcome of any claims or legal proceedings that may be instituted against our company; the ability to maintain compliance with the continued listing requirements of, and to maintain the listing of our securities on, The Nasdaq Stock Market LLC (“Nasdaq”); volatility in the price of our securities due to a variety of factors, including downturns or other changes in the highly competitive and regulated industries in which we operate, variations in performance across competitors and changes in laws and regulations affecting our business; our ability to implement business plans, forecasts and other expectations, and identify and realize additional opportunities; actions by stockholders, including the sale of shares of our common stock; speculation in the press or investment community; recruitment or departure of key personnel; overall performance of the equity markets; disputes or other developments relating to intellectual property rights, including patents, litigation matters and our ability to obtain, maintain, defend, protect and enforce patent and other intellectual property rights for our technologies, and the potential infringement on the intellectual property rights of others; cyber security risks or potential breaches of data security; uncertainty regarding economic events; changes in interest rates; general market, political and economic conditions, including an economic slowdown, recession or depression; our operating performance and the performance of other similar companies; our ability to accurately project future results and our ability to achieve those and other industry and analyst forecasts; new legislation or other regulatory developments that adversely affect our company or the markets or industries in which we operate; our ability to continue as a going concern; our ability to raise additional capital on acceptable terms or at all; and other risks and uncertainties described in the “Risk Factors” section of our Form 10-K and our subsequent Quarterly Reports on Form 10-Q. These forward-looking statements are provided for illustrative purposes only and are not intended to serve as, and must not be relied on by investors as, a guarantee, an assurance, a prediction or a definitive statement of fact or probability. You should carefully consider the foregoing factors and the other risks and uncertainties described in the “Risk Factors” section of the Form 10-K and our subsequent Quarterly Reports on Form 10-Q. These filings identify and address other important risks and uncertainties that could cause actual events and results to differ materially from those contained in the forward-looking statements. The foregoing list of factors is not exhaustive.</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included in this proxy statement speak only as of the date of this proxy statement or any earlier date specified for such statements. Readers are cautioned not to put undue reliance on forward-looking statements, and we undertake no obligation to update or revise any forward-looking statements, whether as a result of new information, future events or otherwise, except as may be required under applicable securities laws. We do not give any assurance that we will achieve our expectations.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40" w:type="dxa"/>
            <w:vAlign w:val="bottom"/>
            <w:gridSpan w:val="2"/>
          </w:tcPr>
          <w:p>
            <w:pPr>
              <w:ind w:left="2400"/>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w:t>
            </w:r>
          </w:p>
        </w:tc>
        <w:tc>
          <w:tcPr>
            <w:tcW w:w="3360" w:type="dxa"/>
            <w:vAlign w:val="bottom"/>
          </w:tcPr>
          <w:p>
            <w:pPr>
              <w:spacing w:after="0"/>
              <w:rPr>
                <w:sz w:val="20"/>
                <w:szCs w:val="20"/>
                <w:color w:val="auto"/>
              </w:rPr>
            </w:pPr>
          </w:p>
        </w:tc>
      </w:tr>
      <w:tr>
        <w:trPr>
          <w:trHeight w:val="432"/>
        </w:trPr>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Annual Meeting Proposals</w:t>
            </w:r>
          </w:p>
        </w:tc>
        <w:tc>
          <w:tcPr>
            <w:tcW w:w="3360" w:type="dxa"/>
            <w:vAlign w:val="bottom"/>
          </w:tcPr>
          <w:p>
            <w:pPr>
              <w:spacing w:after="0"/>
              <w:rPr>
                <w:sz w:val="24"/>
                <w:szCs w:val="24"/>
                <w:color w:val="auto"/>
              </w:rPr>
            </w:pPr>
          </w:p>
        </w:tc>
      </w:tr>
      <w:tr>
        <w:trPr>
          <w:trHeight w:val="432"/>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Proposal</w:t>
            </w: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Matter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Board Vote Recommendation</w:t>
            </w:r>
          </w:p>
        </w:tc>
      </w:tr>
      <w:tr>
        <w:trPr>
          <w:trHeight w:val="209"/>
        </w:trPr>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Election of Directors</w:t>
            </w:r>
          </w:p>
        </w:tc>
        <w:tc>
          <w:tcPr>
            <w:tcW w:w="10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w:t>
            </w: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Election of Directors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r>
      <w:tr>
        <w:trPr>
          <w:trHeight w:val="216"/>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Approval of Issuance of Shares Under Nasdaq 20% Rule</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w:t>
            </w: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Approval of The Reverse Stock Split and Charter Amendment</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r>
      <w:tr>
        <w:trPr>
          <w:trHeight w:val="216"/>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Non-Binding Advisory Vote to Approve Executive Compensation</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w:t>
            </w:r>
          </w:p>
        </w:tc>
      </w:tr>
      <w:tr>
        <w:trPr>
          <w:trHeight w:val="198"/>
        </w:trPr>
        <w:tc>
          <w:tcPr>
            <w:tcW w:w="1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7"/>
                <w:szCs w:val="17"/>
                <w:color w:val="auto"/>
              </w:rPr>
            </w:pPr>
          </w:p>
        </w:tc>
        <w:tc>
          <w:tcPr>
            <w:tcW w:w="6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Non-Binding Advisory Vote on the Frequency of Future Advisory Votes to Approve Named</w:t>
            </w:r>
          </w:p>
        </w:tc>
        <w:tc>
          <w:tcPr>
            <w:tcW w:w="3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1 YEAR</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 Compensation</w:t>
            </w:r>
          </w:p>
        </w:tc>
        <w:tc>
          <w:tcPr>
            <w:tcW w:w="3360" w:type="dxa"/>
            <w:vAlign w:val="bottom"/>
          </w:tcPr>
          <w:p>
            <w:pPr>
              <w:spacing w:after="0"/>
              <w:rPr>
                <w:sz w:val="20"/>
                <w:szCs w:val="20"/>
                <w:color w:val="auto"/>
              </w:rPr>
            </w:pPr>
          </w:p>
        </w:tc>
      </w:tr>
      <w:tr>
        <w:trPr>
          <w:trHeight w:val="216"/>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Ratification of The Selection of Our Independent Registered Public Accounting Firm</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Matters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color w:val="auto"/>
        </w:rPr>
        <w:t>. The holders of at least 23,005,145 shares (one-third of shares issued and outstanding and entitled to vote at the Annual Meeting) must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at the Annual Meeting or represented by proxy to conduct business at the Annual Meeting. Both abstentions and broker non-votes will be counted for the purpose of determining the presence of a quorum.</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Voting by Stockholders of Record</w:t>
      </w:r>
      <w:r>
        <w:rPr>
          <w:rFonts w:ascii="Times New Roman" w:cs="Times New Roman" w:eastAsia="Times New Roman" w:hAnsi="Times New Roman"/>
          <w:sz w:val="18"/>
          <w:szCs w:val="18"/>
          <w:color w:val="auto"/>
        </w:rPr>
        <w:t>. If you are a stockholder of record (your shares are registered directly in your name with our transfer agent),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vote by proxy via the Internet by following the instructions in this Proxy Statement. If you receive printed copies of the proxy materials by mail, you may also vote by proxy via the Internet, by telephone, or by mail by following the instructions provided on the proxy card. Stockholders of record who virtually attend the Annual Meeting may vote during the Annual Meeting by visiting www.virtualshareholdermeeting.com/CXAI2026, entering the applicable control number, and following the instructions on the Annual Meeting website.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Voting by Beneficial Owners</w:t>
      </w:r>
      <w:r>
        <w:rPr>
          <w:rFonts w:ascii="Times New Roman" w:cs="Times New Roman" w:eastAsia="Times New Roman" w:hAnsi="Times New Roman"/>
          <w:sz w:val="18"/>
          <w:szCs w:val="18"/>
          <w:color w:val="auto"/>
        </w:rPr>
        <w:t>. If you are a beneficial owner of shares (your shares are held in the name of a brokerage firm, bank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 you may vote by proxy by following the instructions provided in this Proxy Statement, voting instruction form or other materials provided to you by the brokerage firm, bank or other nominee that holds your shares. If you do not provide specific voting instructions to the nominee that holds your shares, such nominee will have the authority to vote your shares only with respect to the ratification of the selection of WithumSmith+Brown, PC as our independent registered public accounting firm (such proposal is considered a “routine” matter under Nasdaq rules), and your shares will not be voted and will be considered “broker non-votes” with respect to the other proposals (such proposals are considered “non-routine” matters under Nasdaq rules). To vote during the Annual Meeting, you must obtain a legal proxy from the brokerage firm, bank or other nominee that holds your shares.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Changing Your Vote. </w:t>
      </w:r>
      <w:r>
        <w:rPr>
          <w:rFonts w:ascii="Times New Roman" w:cs="Times New Roman" w:eastAsia="Times New Roman" w:hAnsi="Times New Roman"/>
          <w:sz w:val="18"/>
          <w:szCs w:val="18"/>
          <w:color w:val="auto"/>
        </w:rPr>
        <w:t>You may revoke your proxy and change your vote at any time before the final vote at the Annual Meeting. You may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 on a later date via the Internet or by telephone (only your latest Internet or telephone proxy submitted prior to the meeting will be counted), by signing and returning a new proxy card with a later date, or by attending and voting during the Annual Meeting. Your virtual attendance at the Annual Meeting will not automatically revoke your proxy unless you vote again during the Annual Meeting or specifically request in writing that your prior proxy be revoked.</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Votes Required to Adopt Proposals</w:t>
      </w:r>
      <w:r>
        <w:rPr>
          <w:rFonts w:ascii="Times New Roman" w:cs="Times New Roman" w:eastAsia="Times New Roman" w:hAnsi="Times New Roman"/>
          <w:sz w:val="18"/>
          <w:szCs w:val="18"/>
          <w:color w:val="auto"/>
        </w:rPr>
        <w:t>. Each share of our common stock outstanding on the record date is entitled to one vote on the director nominee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one vote on each other matter. To be elected, the director nominee must receive a plurality of the votes cast. Approval of Proposals 3, 4, 5 and 7 requires the affirmative vote of the holders of a majority of the total number of shares of common stock present at the meeting in person or represented by proxy and entitled to vote on such matter, voting as a single class. The frequency receiving the highest number of votes for proposal 6 will be considered the non-binding advisory vote of our shareholders. As of April 17, 2026, the record date, there were 69,015,433 shares of our common stock issued and outstanding and entitled to vote at the Annual Meeting.</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Effect of Abstentions and Broker Non-Votes</w:t>
      </w:r>
      <w:r>
        <w:rPr>
          <w:rFonts w:ascii="Times New Roman" w:cs="Times New Roman" w:eastAsia="Times New Roman" w:hAnsi="Times New Roman"/>
          <w:sz w:val="18"/>
          <w:szCs w:val="18"/>
          <w:color w:val="auto"/>
        </w:rPr>
        <w:t>. For Proposal 1 and Proposal 2, broker non-votes (shares held by brokers that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discretionary authority to vote on a proposal and have not received voting instructions from their clients) and abstentions will not count as votes cast and will have no impact on whether such proposal is approved. For Proposals 3, 4, 5, and 7, abstentions will be counted as present and entitled to vote and will have the same effect as votes “against” such proposals.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Voting Instructions</w:t>
      </w:r>
      <w:r>
        <w:rPr>
          <w:rFonts w:ascii="Times New Roman" w:cs="Times New Roman" w:eastAsia="Times New Roman" w:hAnsi="Times New Roman"/>
          <w:sz w:val="18"/>
          <w:szCs w:val="18"/>
          <w:color w:val="auto"/>
        </w:rPr>
        <w:t>. If you complete and submit a proxy with voting instructions, the persons named as proxy holders will follow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If you are a stockholder of record and submit a proxy without voting instructions, or if your instructions are unclear, the persons named as proxy holders will vote as the Board recommends on each proposal. With respect to any other matters properly presented at the Annual Meeting, the persons named as proxy holders will vote as recommended by our Board, or if no recommendation is given, in their own discretion.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solicitation of proxies is made by the Company. We will pay for the cost of soliciting proxies. Our directors, officers and other employees, without additional compensation, may solicit proxies personally or in writing, by telephone, email or otherwise. As is customary, we will reimburse brokerage firms, banks and other nominees for forwarding our proxy materials to each beneficial owner of common stock held of record by them.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pleased to welcome stockholders to our Annual Meeting. The Annual Meeting will be held in a virtual format only to provide a safe experience for our stockholders and employees. We have designed the format of the Annual Meeting to ensure that stockholders are afforded the same rights and opportunities to participate as they would at an in-person meeting.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attend and vote at the Annual Meeting, please visit www.virtualshareholdermeeting.com/CXAI2026 and follow the instructions included in this Proxy Statement or on your proxy card. Online access to the Annual Meeting will begin approximately 15 minutes prior to the start of the Annual Meeting. Please see “</w:t>
      </w:r>
      <w:r>
        <w:rPr>
          <w:rFonts w:ascii="Times New Roman" w:cs="Times New Roman" w:eastAsia="Times New Roman" w:hAnsi="Times New Roman"/>
          <w:sz w:val="18"/>
          <w:szCs w:val="18"/>
          <w:i w:val="1"/>
          <w:iCs w:val="1"/>
          <w:color w:val="auto"/>
        </w:rPr>
        <w:t>Attending the 2026 Annual Meeting of Stockholders of CXApp Inc.</w:t>
      </w:r>
      <w:r>
        <w:rPr>
          <w:rFonts w:ascii="Times New Roman" w:cs="Times New Roman" w:eastAsia="Times New Roman" w:hAnsi="Times New Roman"/>
          <w:sz w:val="18"/>
          <w:szCs w:val="18"/>
          <w:color w:val="auto"/>
        </w:rPr>
        <w:t>” below for additional information.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the current directors of CXApp. This section also includes certain information regarding our directors’ individual experience, qualifications, attributes and skills and brief statements of those aspects of our directors’ backgrounds that led us to conclude that they are qualified to serve as directors.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Khurram Sheikh</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top w:val="single" w:sz="8" w:color="CCEEFF"/>
            </w:tcBorders>
            <w:shd w:val="clear" w:color="auto" w:fill="CCEEFF"/>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Chief Executive Officer and Director</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Di-Ann Eisnor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Camillo Martino</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Mathai</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Shanti Priya</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Standing for Election at this Annual Meeting</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Mr. Khurram Sheikh </w:t>
      </w:r>
      <w:r>
        <w:rPr>
          <w:rFonts w:ascii="Times New Roman" w:cs="Times New Roman" w:eastAsia="Times New Roman" w:hAnsi="Times New Roman"/>
          <w:sz w:val="18"/>
          <w:szCs w:val="18"/>
          <w:color w:val="auto"/>
        </w:rPr>
        <w:t>has been serving as the Chairman and Chief Executive Officer of CXApp since March 14, 2023, when the company went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through its Merger with KINS. Mr. Sheikh previously was the Founder, Chairman and Chief Executive Officer of KINS since its inception in July 2020. Mr. Sheikh has been at the forefront of innovation in the technology, mobile, semiconductor, telecom and media industries for the past 25 years with CEO and CTO roles at leading technology companies. Since March 2020, Mr. Sheikh has been the Founder, Executive Chairman &amp; CEO of Aijaad, a boutique strategic advisory firm where he advises both large private equity firms as well as boards of public companies on the future of 5G, IoT, Edge Computing and AI technologies and is actively involved in M&amp;A, technology strategy and market development. From 2016 to early 2020, Mr. Sheikh was the CEO of kwikbit, a private company building a “network as a service” solution using gigabit radios, edge compute, virtualization and artificial intelligence. Prior to kwikbit, in 2014, Mr. Sheikh was appointed as the Chief Strategy and Technology Officer for Silicon Image (SIMG) and the President/CEO of its millimeter wave/5G subsidiary SiBEAM. SIMG was acquired by Lattice Semiconductor (Nasdaq:LSCC) in 2015 for $600 million after which Mr. Sheikh was appointed the Chief Strategy and Technology Officer of the combined company responsible for corporate strategy, roadmap, M&amp;A and technology development and was there until 2016. From 2007 onwards, he was the CTO for Powerwave Technologies, a large wireless infrastructure vendor. Powerwave filed for Chapter 11 bankruptcy protection in January 2013, and in April 2013, Mr. Sheikh was appointed as the CEO of Powerwave to help with the sale of the company. Later that year, Mr. Sheikh successfully facilitated the sale of approximately 1,400 patents owned by Powerwave to private equity firm Gores Group. From 2005 to 2007, Mr. Sheikh was Vice President, Wireless Strategy and Development at Time Warner Cable leading the cable company’s entry into the wireless space. From 1996 to 2005, Mr. Sheikh held senior technology roles at Sprint including CTO Mobile Broadband where he was responsible for deploying the world’s first 4G system and the acquisition of multi-billion dollar spectrum assets at 2.5GHz. Mr. Sheikh holds a Bachelor of Science in Electrical Engineering with highest honors from the University of Engineering &amp; Technology in Pakistan and a Master of Science in Electrical Engineering from Stanford University with a specialization in wireless communications. Mr. Sheikh is well qualified to serve as Chairman of our board because of his extensive experience advising boards of directors of public and private companies and his extensive professional experience.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George Mathai </w:t>
      </w:r>
      <w:r>
        <w:rPr>
          <w:rFonts w:ascii="Times New Roman" w:cs="Times New Roman" w:eastAsia="Times New Roman" w:hAnsi="Times New Roman"/>
          <w:sz w:val="18"/>
          <w:szCs w:val="18"/>
          <w:color w:val="auto"/>
        </w:rPr>
        <w:t>has enjoyed decades working, consulting and investing in early stage and small businesses at the crossroads of distinct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multiple industries and novel markets. A technically trained business professional, his early experience in bridge design and infrastructure repair was at Edwards &amp; Kelcey in New York, now Jacobs Engineering. In January 1993, Mr. Mathai transitioned to managing renovation projects and gaining strong communication and project execution skills, while driving revenue and profitability, at a small New York construction company. As a founder, he later parlayed his prior management and technical expertise in leading the biosensor development program at GenoRx in June 2000, an early stage, venture-backed concern in Hayward, California. His team accomplished a manufacturable process for detecting DNA electronically on a silicon biochip with the eventual sale of the technology to Bridger Technologies in April 2011. Thereafter, Mr. Mathai helped raise financing for an innovative antibiotic skin care start-up and worked to fundraise for an early-stage immune-mediated cancer therapeutic while at the boutique brokerage firm Objective Equity LLC. Overlapping these endeavors were local business interests in retail, as well as due diligence consulting for mergers and acquisitions. The above broad and varied interests are also reflected in his educational history which includes bachelor’s and master’s degrees in civil engineering from University of California, Berkeley (May 1989) and City College of New York (June 1992), respectively, as well as, most recently upskilling at CalTech’s cybersecurity program (December 2020). Mr. Mathai’s extensive experience in several diverse industries, markets and customer types brings a unique and inestimable resource to the board.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 Currently Serving Until the 2027 Annual Meeting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Ms. Di-Ann Eisnor </w:t>
      </w:r>
      <w:r>
        <w:rPr>
          <w:rFonts w:ascii="Times New Roman" w:cs="Times New Roman" w:eastAsia="Times New Roman" w:hAnsi="Times New Roman"/>
          <w:sz w:val="18"/>
          <w:szCs w:val="18"/>
          <w:color w:val="auto"/>
        </w:rPr>
        <w:t>has been serving on the KINS Board of Directors since August 2020 and continued her board role with CXApp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in March 2023. Since November 2019, Ms. Eisnor has served as Co-Founder and Chief Executive Officer of Crews by Core, a construction software company focused on automating workflows for the field. Before that, from February 2019 until October 2019, she was an executive of The We Company, where she was responsible for development of their cities platform. Prior to that, Ms. Eisnor served in a number of executive roles at Waze and Google for more than 10 years. Waze, a crowd-sourced navigation and real-time traffic application was acquired by Alphabet, Inc. Over the course of her tenure at Waze and Google, she ran Platform, Growth, Urban Systems, Partnerships, Marketing and expansion into the US, LATAM and SE Asia. Prior to joining Waze, Ms. Eisnor was a co-founder and Chief Executive Officer of Platial Inc., a collaborative, user-generated cartographic website. Ms. Eisnor currently serves on the boards of Saia Inc. (Nasdaq: SAIA) and Marquette Transportation Company. She is a venture partner at Obvious Ventures and is co-founder with Lupe Fiasco of Neighborhood Start Fund, a neighborhood-based micro-fund in underserved urban neighborhoods. She holds a bachelor’s degree in Studio Art and Business Administration from New York University. She is a 2014 Henry Crown Fellow of the Aspen Institute and a member of the Aspen Global Leadership Network. Ms. Eisnor is well qualified to serve on our board because of her extensive experience advising boards of directors of public and private companies and her extensive professional experience.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Currently Serving Until the 2028 Annual Meeting</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Mr. Camillo Martino </w:t>
      </w:r>
      <w:r>
        <w:rPr>
          <w:rFonts w:ascii="Times New Roman" w:cs="Times New Roman" w:eastAsia="Times New Roman" w:hAnsi="Times New Roman"/>
          <w:sz w:val="18"/>
          <w:szCs w:val="18"/>
          <w:color w:val="auto"/>
        </w:rPr>
        <w:t>has been serving on the KINS Board of Directors since August 2020 and continued his board role with CXApp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in March 2023. Mr. Martino was a senior global semiconductor company executive and now serves as a board member and executive advisor to many global technology companies. Prior to his current board roles, Mr. Martino was a chief executive officer and C-suite executive of a number of high technology companies worldwide. He is currently Chair of the Board of Directors of Magnachip Semiconductor (NYSE: MX) and has served on this Board since August 2016. Since 2018, he has also served on the Board of Directors at Sensera. Mr. Martino also serves on the Board of Directors at multiple privately held companies, including VVDN Technologies (fastest growing ODM based in India) and Sakuu Corporation (battery manufacturing platform). Mr. Martino’s prior board service includes serving on the boards of Cypress Semiconductor from June 2017 through the sale of the company to Infineon in April 2020 and Moschip Technologies (BOM: 532407) from April 2017 to May 2019. As an operating executive, Mr. Martino served as Chief Executive Officer of Silicon Image, Inc. (where he also served as a director) from 2010 until the completion of its sale to Lattice Semiconductor Corporation (Nasdaq: LSCC) in March 2015, Chief Operating Officer of SAI Technology Inc. from January 2008 to December 2009 (where he also served as director from 2006 to 2010), and Chief Executive Officer of Cornice Inc. from 2005 to 2007 (where he also served as a director). From August 2001 to July 2005, Mr. Martino served as the executive vice president and chief operating officer at Zoran Corporation, a global SoC semiconductor company. Prior to that, Mr. Martino held multiple positions with National Semiconductor Corporation for a total of nearly 14 years. Mr. Martino holds a Bachelor of Applied Science from the University of Melbourne and a Graduate Diploma (in Digital Communications) from Monash University in Australia. Mr. Martino is well qualified to serve on our board because of his extensive experience advising boards of directors of public and private companies and his extensive professional experience.</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Ms. Shanti Priya </w:t>
      </w:r>
      <w:r>
        <w:rPr>
          <w:rFonts w:ascii="Times New Roman" w:cs="Times New Roman" w:eastAsia="Times New Roman" w:hAnsi="Times New Roman"/>
          <w:sz w:val="18"/>
          <w:szCs w:val="18"/>
          <w:color w:val="auto"/>
        </w:rPr>
        <w:t>has been the CFO of Maxfield Enterprises, Inc., a luxury retail company based in Los Angeles and has been leading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finance and operations since February 2018. Prior to that, Ms. Priya worked for over 12 years in corporate finance at Gap Inc. with her last role at the company as the Global Director of FP&amp;A and Control overseeing the North American, European and Asian markets. Before transitioning into a career in finance, Ms. Priya worked as a Producer managing content creation at a tech start-up, Knowledge Kids Network, an online educational media site. She holds a Bachelor of Arts in Honors English Literature with a minor in Biology from Scripps College. In addition, she holds a Master of Arts in Print Journalism and a Master of Business Administration both from the University of Southern California. Ms. Priya also serves on the board and as treasurer of Secular Student Alliance, a non-profit organization that educates high school and college students regarding secularism and scientific reasoning. She has previously served on the board of Sequoyah School, a non-profit private school serving the ages from K-8. Ms. Priya is well qualified to serve on our board of directors because of her substantial financial and operations experience.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is divided into three classes with staggered, three-year terms, in accordance with the terms of the Company’s existing amended and restated certificate of incorporation (“Charter”). At each annual meeting of stockholders, the directors whose terms then expire are eligible for reelection until the third annual meeting following reelection. The directors are divided among the three classes as follows:</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 is Di-Ann Eisnor, and her term will expire at our 2027 annual meeting of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Camillo Martino and Shanti Priya, and their terms will expire at our 2028 annual meeting of stockholders;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Khurram P. Sheikh and George Mathai, and their terms will expire at our 2026 annual meeting of stockholders.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Charter provides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the Board into three classes with staggered three-year terms may delay or prevent a change of the Board or a change in control of the Company. The Company’s directors may be removed only for cause by the affirmative vote of the holders of at least two-thirds of the Company’s outstanding voting stock then entitled to vote in an election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Board does not anticipate implementing a policy requiring the positions of the Chairman of the Board and Chief Executive Officer to be separate or held by the same individual. Any further determination to create such a policy is expected to be based on circumstances existing from time to time, based on criteria that are in the Company’s best interests and the best interests of its stockholders, including the composition, skills and experience of the Board and its members, specific challenges faced by the Company or the industry in which it operates, and governance efficiency. We elected Mr. Sheikh as Chairman of the Board because Mr. Sheikh’s strategic vision for the business, his in-depth knowledge of the Company’s operations and his experience in capital markets make him well qualified to serve as both Chairman of the Board and Chief Executive Officer of the Company. Combining the roles of Chairman and Chief Executive Officer will help provide strong and consistent leadership for the management team and the Board. However, the Board may decide in the future to separate the roles of Chairman and Chief Executive Officers if it determines that such structure provides better and more effective oversight and management of the Company. If the Board convenes for a meeting, it is expected that the non-management directors will meet in one or more executive sessions, if the circumstances warrant it. The Board may also consider appointing a lead independent director, if the circumstances warrant 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of Directors in Risk Oversight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is responsible for the oversight of the Company’s risk management processes and, either as a whole or through its committees, regularly discusses with management the Company’s major risk exposures, their potential impact on the Company’s business and the steps the Company takes to manage them. The risk oversight process includes receiving regular reports from board committees and members of senior management to enable the Board to understand the Company’s risk identification, risk management and risk mitigation strategies with respect to areas of potential material risk, including operations, finance, legal, regulatory, strategic and reputational risk.</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reviews information regarding liquidity and operations, and oversees the Company’s management of financial risks. Periodically, the audit committee reviews the Company’s policies with respect to risk assessment, risk management, loss prevention and regulatory compliance. Oversight by the audit committee includes direct communication with the Company’s external auditors, and discussions with management regarding significant risk exposures and the actions management has taken to limit, monitor or control such exposures. The compensation committee is responsible for assessing whether any of the Company’s compensation policies or programs has the potential to encourage excessive risk-taking. The nominating and corporate governance committee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is considered by the Board as a whole.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Director Qualifications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nominating and corporate governance committee is responsible for reviewing with the Board, on an annual basis, the appropriate characteristics, skills and experience required for the Board as a whole and its individual members. In evaluating the suitability of individual candidates (both new candidates and current members) for election or appointment, the nominating and corporate governance committee and the Board will take into account many factors, including the following:</w:t>
      </w:r>
    </w:p>
    <w:p>
      <w:pPr>
        <w:spacing w:after="0" w:line="18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and professional integrity, ethics and values;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corporate management, such as serving as an officer or former officer of a publicly held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as a board member or executive officer of another publicly held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finance experience;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expertise and experience in substantive matters pertaining to our business relative to other board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relevant to our business industry and with relevant social policy concerns;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academic expertise or other proficiency in an area of our business operations.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evaluates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consists of an audit committee, a compensation committee and a nominating and corporate governance committee. The composition of each committee is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Nominating</w:t>
            </w:r>
          </w:p>
        </w:tc>
      </w:tr>
      <w:tr>
        <w:trPr>
          <w:trHeight w:val="216"/>
        </w:trPr>
        <w:tc>
          <w:tcPr>
            <w:tcW w:w="28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and</w:t>
            </w:r>
          </w:p>
        </w:tc>
      </w:tr>
      <w:tr>
        <w:trPr>
          <w:trHeight w:val="216"/>
        </w:trPr>
        <w:tc>
          <w:tcPr>
            <w:tcW w:w="28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Corporate</w:t>
            </w:r>
          </w:p>
        </w:tc>
      </w:tr>
      <w:tr>
        <w:trPr>
          <w:trHeight w:val="216"/>
        </w:trPr>
        <w:tc>
          <w:tcPr>
            <w:tcW w:w="28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Governance</w:t>
            </w: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Committee</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Khurram Sheikh</w:t>
            </w:r>
          </w:p>
        </w:tc>
        <w:tc>
          <w:tcPr>
            <w:tcW w:w="4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Di-Ann Eisnor</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340" w:type="dxa"/>
            <w:vAlign w:val="bottom"/>
            <w:gridSpan w:val="2"/>
          </w:tcPr>
          <w:p>
            <w:pPr>
              <w:jc w:val="center"/>
              <w:ind w:right="240"/>
              <w:spacing w:after="0" w:line="181" w:lineRule="exact"/>
              <w:rPr>
                <w:sz w:val="20"/>
                <w:szCs w:val="20"/>
                <w:color w:val="auto"/>
              </w:rPr>
            </w:pPr>
            <w:r>
              <w:rPr>
                <w:rFonts w:ascii="MS PGothic" w:cs="MS PGothic" w:eastAsia="MS PGothic" w:hAnsi="MS PGothic"/>
                <w:sz w:val="18"/>
                <w:szCs w:val="18"/>
                <w:color w:val="auto"/>
                <w:w w:val="83"/>
              </w:rPr>
              <w:t>✓✓</w:t>
            </w:r>
          </w:p>
        </w:tc>
        <w:tc>
          <w:tcPr>
            <w:tcW w:w="11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Camillo Martino</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340" w:type="dxa"/>
            <w:vAlign w:val="bottom"/>
            <w:gridSpan w:val="2"/>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gridSpan w:val="2"/>
            <w:shd w:val="clear" w:color="auto" w:fill="CCEEFF"/>
          </w:tcPr>
          <w:p>
            <w:pPr>
              <w:jc w:val="center"/>
              <w:ind w:right="120"/>
              <w:spacing w:after="0" w:line="181" w:lineRule="exact"/>
              <w:rPr>
                <w:sz w:val="20"/>
                <w:szCs w:val="20"/>
                <w:color w:val="auto"/>
              </w:rPr>
            </w:pPr>
            <w:r>
              <w:rPr>
                <w:rFonts w:ascii="MS PGothic" w:cs="MS PGothic" w:eastAsia="MS PGothic" w:hAnsi="MS PGothic"/>
                <w:sz w:val="18"/>
                <w:szCs w:val="18"/>
                <w:color w:val="auto"/>
                <w:w w:val="83"/>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George Mathai</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Shanti Priya</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00"/>
              <w:spacing w:after="0" w:line="181" w:lineRule="exact"/>
              <w:rPr>
                <w:sz w:val="20"/>
                <w:szCs w:val="20"/>
                <w:color w:val="auto"/>
              </w:rPr>
            </w:pPr>
            <w:r>
              <w:rPr>
                <w:rFonts w:ascii="MS PGothic" w:cs="MS PGothic" w:eastAsia="MS PGothic" w:hAnsi="MS PGothic"/>
                <w:sz w:val="18"/>
                <w:szCs w:val="18"/>
                <w:color w:val="auto"/>
                <w:w w:val="83"/>
              </w:rPr>
              <w: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820" w:type="dxa"/>
            <w:vAlign w:val="bottom"/>
            <w:tcBorders>
              <w:bottom w:val="single" w:sz="8" w:color="auto"/>
            </w:tcBorders>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6"/>
        </w:trPr>
        <w:tc>
          <w:tcPr>
            <w:tcW w:w="28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Chair</w:t>
            </w:r>
          </w:p>
        </w:tc>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7"/>
        </w:trPr>
        <w:tc>
          <w:tcPr>
            <w:tcW w:w="28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jc w:val="right"/>
              <w:ind w:right="17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committee’s main function is to oversee the Company’s accounting and financial reporting processes and the audits of the Company’s financial statements. This committee’s responsibilities include, among other things:</w:t>
      </w:r>
    </w:p>
    <w:p>
      <w:pPr>
        <w:spacing w:after="0" w:line="162" w:lineRule="exact"/>
        <w:rPr>
          <w:sz w:val="20"/>
          <w:szCs w:val="20"/>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compensation, retention, replacement and oversight of the work of the independent auditors and any other independent registered public accounting firm engaged by 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permitted non-audit services to be provided by the independent auditors or any other registered public accounting firm engaged by us, and establishing pre-approval policies and procedures;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independent auditors all relationships the auditors have with us in order to evaluate their continued independence;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hiring policies for employees or former employees of the independent auditors;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policies for audit partner rotation in compliance with applicable laws and regulations;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at least annually, from the independent auditors describing (i) the independent auditor’s internal quality-control procedures and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to review and discuss our annual audited financial statements and quarterly financial statements with management and the independent auditor;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related party transaction required to be disclosed pursuant to Item 404 of Regulation S-K promulgated by the SEC prior to us entering into such transaction;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independent auditors and our legal advisors, as appropriate, any legal, regulatory or compliance matters, including any correspondence with regulators or government agencies,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members of the Company’s audit committee are Shanti Priya, Camillo Martino and Di-Ann Eisnor. Shanti Priya serves as the chair of the committee. All members of the Company’s audit committee are independent directors and meet the requirements for financial literacy under the applicable rules and regulations of the SEC and Nasdaq. Shanti Priya is an “audit committee financial expert” as defined by applicable SEC rules and has the requisite financial sophistication as defined under the applicable Nasdaq listing standards. The Company’s board of directors adopted a written charter for the audit committee, which is available on the corporate website at www.cxapp.com. The information on any of the Company’s websites is deemed not to be incorporated in this proxy or to be part of this proxy. The nominating and corporate governance committee operates under its written charter and will review and evaluate the charter at least annually.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committee’s main function is to oversee the Company’s policies relating to compensation and benefits of the Company’s officers and employees. This committee’s responsibilities include, among other things: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compensation of all of our other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an annual basis our executive compensation policies and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perquisites and certain other compensation and benefit arrangements for our officers and employees;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producing a report on executive compensation to be included in our annual proxy statement;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charter also provides that the compensation committee may, in its sole discretion, retain or obtain the advice of a compensation consultant,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members of the Company’s compensation committee are Camillo Martino, Di-Ann Eisnor and George Mathai. Di-Ann Eisnor serves as the chair of the committee. The Board has determined that each of Camillo Martino, Di-Ann Eisnor and George Mathai is independent under the applicable Nasdaq listing standards and is a “non-employee director” as defined in Rule 16b-3 promulgated under the Exchange Act. The Company’s board of directors adopted a written charter for the compensation committee, which is available on the corporate website at www.cxapp.com. The information on any of the Company’s websites is deemed not to be incorporated in this proxy or to be part of this proxy. The compensation committee operates under its written charter and will review and evaluate the charter at least annually.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assisting the Board in discharging its responsibilities regarding the identification of qualified candidates to become board members, the selection of nominees for election as directors at the Company’s annual meetings of stockholders (or special meetings of stockholders at which directors are to be elected) and the selection of candidates to fill any vacancies on the Board and any committees thereof. In addition, the nominating and corporate governance committee is responsible for overseeing the Company’s corporate governance policies, reporting and making recommendations to the Board concerning governance matters and oversight of the evaluation of the Board.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members of the Company’s nominating and corporate governance committee are Camillo Martino, Di-Ann Eisnor and Shanti Priya. Camillo Martino serves as the chair of the committee. All members of the Company’s nominating and corporate governance committee are independent directors under the applicable Nasdaq listing standards. The Company’s board of directors adopted a written charter for the nominating and corporate governance committee, which is available on the corporate website at www.cxapp.com. The information on any of the Company’s websites is deemed not to be incorporated in this proxy or to be part of this proxy. The nominating and corporate governance committee operates under its written charter and will review and evaluate the charter at least annually.</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Identifying and Evaluating Nominees for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utilizes a variety of methods for identifying and evaluating nominees for directors, including those discussed in the “</w:t>
      </w:r>
      <w:r>
        <w:rPr>
          <w:rFonts w:ascii="Times New Roman" w:cs="Times New Roman" w:eastAsia="Times New Roman" w:hAnsi="Times New Roman"/>
          <w:sz w:val="18"/>
          <w:szCs w:val="18"/>
          <w:i w:val="1"/>
          <w:iCs w:val="1"/>
          <w:color w:val="auto"/>
        </w:rPr>
        <w:t>Director Qualifications</w:t>
      </w:r>
      <w:r>
        <w:rPr>
          <w:rFonts w:ascii="Times New Roman" w:cs="Times New Roman" w:eastAsia="Times New Roman" w:hAnsi="Times New Roman"/>
          <w:sz w:val="18"/>
          <w:szCs w:val="18"/>
          <w:color w:val="auto"/>
        </w:rPr>
        <w:t>” section of this proxy statement. In the event that vacancies on the Board are anticipated, or otherwise arise, the committee will consider various potential candidates for director. Candidates may come to the attention of the committee through current members of the Board, professional search firms, stockholders or other persons.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Stockholders of record (i) on the record date for an annual meeting of stockholders or a special meeting of stockholders called for the purpose of electing directors and (ii) on the date of the giving of proper notice of such stockholder’s proposal may propose director candidates for election to the Board at such annual or special meeting by submitting to the Secretary of the Company, in proper written form, the information required by our Bylaws for stockholder nominations. Pursuant to the Nominating and Corporate Governance Committee charter, the Nominating and Corporate Governance Committee will evaluate any candidates recommended by stockholders against the same criteria and pursuant to the same policies and procedures applicable to the evaluation of candidates proposed by directors or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our Board of Directors and Stockholder Meetings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2025, our Board held 16 meetings (including 7 Compensation Committee meetings and 6 Audit Committee meetings), and each member attended at least 75% of the aggregate of (1) the total number of meetings of the Board held during the period for which he or she has been a director and</w:t>
      </w:r>
    </w:p>
    <w:p>
      <w:pPr>
        <w:jc w:val="both"/>
        <w:ind w:firstLine="8"/>
        <w:spacing w:after="0" w:line="255" w:lineRule="auto"/>
        <w:tabs>
          <w:tab w:leader="none" w:pos="2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meetings held by all committees on which he or she served during the periods that he or she served. Although we do not have a formal policy regarding attendance by members of our Board at the annual meetings of stockholders, we strongly encourage, but do not require, directors to attend. All of the five directors then serving on the Board attended the Company’s 2025 annual meeting of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 of Outside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encourage and enhance communication among outside directors, and as required under applicable Nasdaq rules, our corporate governance guidelines provide that the outside directors will meet in executive sessions, without management directors or management present, on a periodic basis. In addition, if any of our outside directors are not independent directors, then our independent directors will also meet in executive sessions on a periodic basis. These executive sessions are chaired by Shanti Priya, our independent Chair of the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have ever been an executive officer or employee of the Company. None of our executive officers currently serves, or has served during the last completed fiscal year, on the compensation committee or board of directors of any other entity that has one or more executive officers that serve on our Board or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has the following process for securityholders to send communications to the Board: stockholders and other interested parties wishing to communicate directly with our independent directors may do so by writing and sending the correspondence, by mail, to our Legal Department at our principal executive offices at Four Palo Alto Square, Suite 200, 3000 El Camino Rd., Palo Alto, California, 94306. Our Legal Department, in consultation with appropriate directors as necessary, will review all incoming communications and screen any communications that (1) are solicitations for products and services, (2) relate to matters of a personal nature not relevant for our stockholders to act on or for our Board to consider and (3) concern matters that are of a type that are improper or irrelevant to the functioning of our Board or our business, including, without limitation, mass mailings, job inquiries and business solicitations. If appropriate, our Legal Department will route such communications to the appropriate director(s) or, if none is specified, then to the Chairman of the Board. These policies and procedures do not apply to communications to non-management directors from our officers or directors who are stockholders or stockholder proposals submitted pursuant to Rule 14a-8 under the Exchange Act.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insider trading policies and procedures that govern the purchase, sale, and other dispositions of our securities by directors, officers, employees, and contractors, as well as by the Company itself. We believe these policies and procedures are reasonably designed to promote compliance with insider trading laws, rules and regulations and applicable listing standards. A copy of our Insider Trading Policy is attached as Exhibit 19.1 to our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Prohibiting Hedging or Pledging of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our Insider Trading Policy, our employees, including our officers and the members of our Board, are prohibited from, directly or indirectly, among other things, (1) engaging in short sales, (2) trading in publicly traded options, such as options, warrants, puts and calls and other similar instruments on our securities, (3) hedging transactions (including, without limitation, prepaid variable forward sale contracts, equity swaps, collars and exchange funds), or otherwise engaging in transactions that hedge or offset, or are designed to hedge or offset, any decrease in the market value of our securities, (4) pledging any of our securities as collateral for any loans, (5) holding our securities in a margin account and (6) placing standing or limit orders on our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other employees, including our chief executive officer, chief financial officer and all senior financial officers, and any principal accounting officer or persons performing similar functions. The code of ethics is available on our website at ir.cxapp.com/corporate-governance/governance-highlights. We intend to make any legally required disclosures regarding amendments to, or waivers of, provisions of our code of ethics on our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consists of five (5) members. We determined that each director, other than Mr. Sheikh, are independent directors in accordance with the listing requirements of Nasdaq. The Nasdaq independence definition includes a series of objective tests, including that the director is not, and has not been for at least three years, one of the Company’s employees and that neither the director nor any of his, her or their family members has engaged in various types of business dealings with the Company. There are no family relationships among any of the Company’s directors or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maintains a director compensation policy (the “Director Compensation Policy”) for our directors. The Director Compensation Policy was developed by taking into consideration practices and compensation levels at comparable companies. The Director Compensation Policy is designed to attract, retain and reward outside directors.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Director Compensation Policy, each outside director is eligible to receive the cash and equity compensation for Board services described below. We also will reimburse our directors for reasonable, customary and documented travel expenses to meetings of our Board or its committees and other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Director Compensation Policy contemplates that directors are entitled to receive annual cash compensation for their service.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person who first becomes a director following the effective date of the Director Compensation Policy will receive an annual award of RSUs having a value to be determined by the Board upon recommendation of the Compensation Committee (with the number of shares of our Class A common stock subject to the award determined by dividing such value by the closing sales price of a share of our Class A common stock on the applicable grant date, but rounded down to the nearest whole share), with such award vesting on the first anniversary of the grant date, subject to continued service through each applicable vesting date. On May 28, 2025, each outside director received an award of 200,000 shares with such award vesting on the annual anniversary, subject to the director’s continued service on the Board through such vesting date.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for service on our Board during the year-ended December 31, 2025, by our non-employee directors. Khurram P. Sheikh’s compensation as a named executive officer and a director is set forth below under “Executive Compensation Tables—2025 Summary Compensation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Earned or</w:t>
            </w:r>
          </w:p>
        </w:tc>
        <w:tc>
          <w:tcPr>
            <w:tcW w:w="132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3"/>
                <w:szCs w:val="23"/>
                <w:color w:val="auto"/>
              </w:rPr>
            </w:pPr>
          </w:p>
        </w:tc>
        <w:tc>
          <w:tcPr>
            <w:tcW w:w="110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w w:val="98"/>
                <w:vertAlign w:val="subscript"/>
              </w:rPr>
              <w:t>($)</w:t>
            </w:r>
            <w:r>
              <w:rPr>
                <w:rFonts w:ascii="Times New Roman" w:cs="Times New Roman" w:eastAsia="Times New Roman" w:hAnsi="Times New Roman"/>
                <w:sz w:val="14"/>
                <w:szCs w:val="14"/>
                <w:b w:val="1"/>
                <w:bCs w:val="1"/>
                <w:color w:val="auto"/>
                <w:w w:val="98"/>
              </w:rPr>
              <w:t>(1)(2)</w:t>
            </w:r>
          </w:p>
        </w:tc>
        <w:tc>
          <w:tcPr>
            <w:tcW w:w="220" w:type="dxa"/>
            <w:vAlign w:val="bottom"/>
          </w:tcPr>
          <w:p>
            <w:pPr>
              <w:spacing w:after="0"/>
              <w:rPr>
                <w:sz w:val="23"/>
                <w:szCs w:val="23"/>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Di-Ann Eisnor</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5"/>
              </w:rPr>
              <w:t>200,000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Camillo Martino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37,000</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237,000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Mathai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37,000</w:t>
            </w:r>
          </w:p>
        </w:tc>
        <w:tc>
          <w:tcPr>
            <w:tcW w:w="1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237,000</w:t>
            </w: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Shanti Priya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37,000</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jc w:val="both"/>
        <w:ind w:left="340" w:hanging="332"/>
        <w:spacing w:after="0" w:line="219"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amounts reported in the “Stock Awards” column represent the aggregate grant-date fair value of awards granted during the applicable fiscal year, computed in accordance with Financial Accounting Standards Board Accounting Standards Codification Topic 718, Compensation—Stock Compensation. The assumptions used in calculating these values are described in Note 10 to the Company’s financial statements included in our Form 10-K.</w:t>
      </w:r>
    </w:p>
    <w:p>
      <w:pPr>
        <w:ind w:left="340" w:hanging="332"/>
        <w:spacing w:after="0" w:line="187"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following table shows all shares of common stock subject to outstanding stock options and stock awards held by our non-employee directors as of December 31,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RSU Awards</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r>
      <w:tr>
        <w:trPr>
          <w:trHeight w:val="210"/>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Di-Ann Eisnor</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w w:val="70"/>
              </w:rPr>
              <w:t>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Camillo Martino</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Mathai</w:t>
            </w: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Shanti Priya</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bl>
    <w:p>
      <w:pPr>
        <w:spacing w:after="0" w:line="17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Board expects to review director compensation periodically to ensure that director compensation remains competitive such that we are able to recruit and retain qualified directors. Such program will continue to be designed to align compensation with our business objectives and the creation of stockholder value, while enabling us to attract, retain, incentivize and reward directors who contribute to the long-term success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the 2027 Annual Meeting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Proposals for Inclusion in our Proxy Materials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SEC rules, if a stockholder wishes to submit a proposal for inclusion in our proxy statement for the 2027 Annual Meeting of Stockholders, the proposal must be received by our Secretary not later than [●], 2027. All proposals must comply with Rule 14a-8 under the Exchange Act.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i w:val="1"/>
          <w:iCs w:val="1"/>
          <w:color w:val="auto"/>
        </w:rPr>
        <w:t>Stockholder Nominations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Only persons who are nominated in accordance with the following procedures shall be eligible for election as directors of the Company, except as may be otherwise provided in our Charter with respect to the right of holders of preferred stock to nominate and elect a specified number of directors in certain circumstances. Nominations of persons for election to the Board may be made (a) by or at the direction of the Board (or any duly authorized committee thereof) or (b) by any stockholder of the Company (i) who is a stockholder of record on the date of the giving of the notice provided for in our Bylaws and on the record date for the determination of stockholders entitled to notice of and to vote at such Annual Meeting and (ii) who complies with the notice procedures set forth in our Bylaws.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any other applicable requirements, including those in our Bylaws, for a nomination to be made by a stockholder, such stockholder must have given timely notice thereof in proper written form to the Secretary of the Company.</w:t>
      </w:r>
    </w:p>
    <w:p>
      <w:pPr>
        <w:spacing w:after="0" w:line="16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To be timely, a stockholder’s notice to the Secretary must be delivered to or be mailed and received at the principal executive offices of the Company not less than 90 days nor more than 120 days prior to the anniversary date of the immediately preceding annual meeting of stockholders. However, if the annual meeting is more than 30 days before or more than 60 days after such anniversary date, or if there has been no prior annual meeting, notice by the stockholder to be timely must be received not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before the meeting and not later than the later</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(a)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before the meeting or (b) the close of business 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the annual meeting was first made by the Company. This means notice must be received not earlier than February 16, 2027, nor later than March 19, 2027 if the annual meeting is not more than 30 days before or more than 60 days after the anniversary date of the preceding year’s annual meeting. In no event shall the adjournment or postponement of an annual meeting of stockholders, or the public announcement of such an adjournment or postponement, commence a new time period (or extend any time period) for the giving of a stockholder’s notice as described above.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Universal Proxy Rules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comply with the universal proxy rules, stockholders who intend to solicit proxies in support of director nominees other than the Company’s nominees must set forth the information required by Rule 14a-19 under the Exchange Act no later than April 17, 2027.</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Detailed information for submitting proxy access nominations will be provided upon written request to the Legal Department of CXApp Inc., Four Palo Alto Square, Suite 200, 3000 El Camino Real, Palo Alto, CA 94306.</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Business</w:t>
      </w:r>
    </w:p>
    <w:p>
      <w:pPr>
        <w:spacing w:after="0" w:line="22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Any stockholder who wishes to make a nomination or introduce an item of business, other than as described above, must comply with the procedures set forth in our Bylaws, including delivering proper notice to us not less than 90 days nor more than 120 days prior to the first anniversary of the preceding year’s annual meeting. However, if the annual meeting is more than 30 days before or more than 60 days after such anniversary date, or if there has been no prior annual meeting, notice by the stockholder to be timely must be received not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before the</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meeting and not later than the later of (a)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before the meeting or (b) the close of business 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the annual meeting was first made by the Company. This means notice must be received not earlier than February 16, 2027, nor later than March 18, 2027 if the annual meeting is not more than 30 days before or more than 60 days after the anniversary date of the preceding year’s annual meeting. Detailed information for submitting stockholder proposals or nominations, other than for inclusion in our proxy statement, will be provided upon written request to the Legal Department of CXApp Inc., Four Palo Alto Square, Suite 200, 3000 El Camino Real, Palo Alto, CA 94306.</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[March 24], 2026, with respect to securities held by:</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issued and outstanding shares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named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our common stock subject to options or other rights (as set forth above) held by that person that are currently exercisable, or will become exercisable within 60 days thereafter, are deemed outstanding for such person, while such shares are not deemed outstanding for purposes of computing percentage ownership of any other person. The table below also reflects the beneficial ownership of shares of our common stock issuable upon the exercise of public warrants or private placement warrants. Each person named in the table has sole voting and investment power with respect to all of the shares shown as beneficially owned by such person, except as otherwise indicated in the table or footnotes below.</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the voting securities beneficially owned by them. To our knowledge, no shares of our common stock beneficially owned by any executive officer or director have been pledged as security. Unless otherwise noted, the address of each beneficial owner is c/o CXApp Inc., Four Palo Alto Square, Suite 200, 3000 El Camino Real, Palo Alto, CA 94306.</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27, 2026, there were 69,015,433 shares of our common stock issued and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Ownership</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3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Pr>
          <w:p>
            <w:pPr>
              <w:spacing w:after="0"/>
              <w:rPr>
                <w:sz w:val="20"/>
                <w:szCs w:val="20"/>
                <w:color w:val="auto"/>
              </w:rPr>
            </w:pPr>
          </w:p>
        </w:tc>
      </w:tr>
      <w:tr>
        <w:trPr>
          <w:trHeight w:val="210"/>
        </w:trPr>
        <w:tc>
          <w:tcPr>
            <w:tcW w:w="8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Khurram P. Sheikh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1,859,178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Camillo Martino*</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201,010</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Di-Ann Eisnor*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130,471</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Shanti Priya*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66,016</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Mathai*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34,342</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Joy L. Mbanugo*</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(6 individuals)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2,291,017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one percent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Policy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All of our directors and executive officers are subject to our Code of Business Conduct and Ethics and our Related Party Transactions Policy, and our directors are guided in their duties by our Corporate Governance Guidelines. Our Code of Business Conduct and Ethics requires that our directors and executive officers avoid situations where a conflict of interest might occur or appear to occur. In general, our directors and executive officers should not have a pecuniary interest in transactions involving us or a customer, licensee or supplier of the Company, unless such interest is solely a result of routine investments made by the individual in publicly traded companies. In the event that a director or executive officer is going to enter into a related party transaction with a relative or significant other, or with a business in which a relative or significant other is associated in any significant role, the director or executive officer must fully disclose the nature of the related party transaction to our Legal Department. For directors and executive officers, such related party transaction then must be reviewed and approved in advance by the Audit Committee. For other conflicts of interest that may arise, the Code of Business Conduct and Ethics advises our directors and executive officers to consult with our Legal Department. In addition, each director and officer is required to complete a director and officer questionnaire on an annual basis and upon any new appointment, which requires disclosure of any related-party transactions pertaining to the director or executive officer. Our Board will consider such information in its determinations of independence with respect to our directors under applicable Nasdaq and SEC rules.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our directors, executive officers or their immediate family members has or has had any material interest in any transaction in which the Company is a participant that would require disclosure under Item 404(a) of Regulation S-K.</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a “smaller reporting company” as defined by the SEC, and therefore is not required to provide, and does not purport to provide, all of the disclosures required for a “Compensation Discussion and Analysis” as set forth in the rules promulgated by the SEC. The Company is, however, providing a brief overview of its executive compensation program in order to aid its stockholders’ understanding of how its business and performance affects executive compensation decisions.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named executive officers (“NEOs”) consisted of Khurram P. Sheikh, Chief Executive Officer (“CEO”), and Joy L. Mbanugo, Chief Financial Officer (“CFO”), in fiscal year 2025. The biography of Khurram P. Sheikh is set forth under the section entitled “— Continuing Directors.” Mr. Sheikh and Ms. Mbanugo were the only individuals who served as executive officers (as defined under Rule 3b-7 of the Exchange Act) of the Company during fiscal year 2025.</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Ms. Joy L. Mbanugo </w:t>
      </w:r>
      <w:r>
        <w:rPr>
          <w:rFonts w:ascii="Times New Roman" w:cs="Times New Roman" w:eastAsia="Times New Roman" w:hAnsi="Times New Roman"/>
          <w:sz w:val="18"/>
          <w:szCs w:val="18"/>
          <w:color w:val="auto"/>
        </w:rPr>
        <w:t>is currently the Chief Financial Officer and joined CXAppp in August 2024. Before joining CXApp, Ms. Mbanugo was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Financial Officer at ServiceRocket. Ms. Mbanugo led the Finance, Accounting, Workforce Planning, and People teams while overseeing strategic finance, forecasting, budgeting, treasury management, tax, compensation planning, and more. With over 20 years of experience in audit, tax, business operations, financial services, and financial planning/analysis across diverse industries and markets, Ms. Mbanugo is a seasoned professional. Before her role at ServiceRocket, Ms. Mbanugo spent five years at Google, where she played a crucial role in evaluating Google Cloud Partnerships and Solutions, organizing Alphabet’s financial data in Controllership, and optimizing the management of over $100 billion in cash in Treasury and Tax. Her extensive experience also includes a three-year stint at BlackRock, where she led the taxation of financial instruments, securities lending, information reporting, and withholding, among other responsibilities. During her 12-year tenure at EY, she further honed her expertise, offering tax and audit services to clients in international tax, financial services, and capital markets. Ms. Mbanugo holds a Juris Doctor from Cleveland State and a Master of Accountancy from Case Western Reserve University. She also has a double bachelor’s degree in accounting and Black World Studies from Miami University of Ohio.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executive compensation program is designed to enable the Company to provide competitive compensation packages that attract, retain and motivate talented executives and managers while aligning management’s and stockholders’ interests in the enhancement of Company performance and stockholder value.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executive compensation program uses multiple elements to deliver a total package consisting of base salary, annual cash incentive awards and long-term incentive compensation in the form of equity awards, which are heavily weighted toward variable compensation tied to Company performance and stock price performance. The Compensation Committee reviews each element separately but also considers the relative mix of compensation and benefit offerings when making compensation decisions. In addition, the Compensation Committee retains discretion to make adjustments it deems advisable to balance the Company’s overall performance and the individual performance of the Company’s executive officers with our “pay for performance” philosophy.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Process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Role of the Compensation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is responsible for making compensation recommendations to the Board regarding our CEO and CFO, our CEO’s and CFO’s direct reports and our non-employee directors. These recommendations include base salaries, target annual cash incentive award opportunities and overall levels of equity awards to be granted, if any, each year; and determining the amount of funding that will be available for the Equity Incentive Plan (the “EIP”), among other duties expressed in its charter. The compensation decisions are based on numerous inputs and independent advice, as set forth below.</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performing these duties, the Compensation Committee evaluates the performance of our CEO and reviews and evaluates the existing NEO compensation program on an annual basis. The Compensation Committee has the authority to obtain advice and assistance from internal or external compensation consultants, attorneys, accountants and other advisers.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considers multiple factors to ensure that compensation packages are consistent with our “pay for performance” philosophy and that we remain competitive in the market for talent, especially in light of a recent hyper-competitive compensation environment. The Compensation Committee considers the following important factors as part of its decision-making process: Company performance, individual leadership and performance assessments, competitive market compensation levels, job scope, individual skills and experience, the relative importance of the individual’s role, internal pay equity, historical pay levels and individual equity holdings.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Role of Management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its review and determination of the Company’s compensation objectives, philosophy, programs and decisions, the Compensation Committee works with and receives advice and recommendations from our CEO (other than with respect to his own compensation). The Compensation Committee considers the recommendations of our CEO (other than with respect to his own compensation), together with the review by its compensation consultant, in making independent recommendations and determinations regarding executive compensation. Our CEO attends all Compensation Committee meetings other than those portions that are held in executive session, and he is not present during voting or deliberations on matters involving his compensation, in accordance with the Compensation Committee’s charter.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2025 executive compensation program consisted of the following elements, which were heavily weighted toward variable compensation tied to Company performance and stock price performance:</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380" w:type="dxa"/>
            <w:vAlign w:val="bottom"/>
            <w:tcBorders>
              <w:top w:val="single" w:sz="8" w:color="auto"/>
              <w:left w:val="single" w:sz="8" w:color="auto"/>
            </w:tcBorders>
          </w:tcPr>
          <w:p>
            <w:pPr>
              <w:spacing w:after="0"/>
              <w:rPr>
                <w:sz w:val="23"/>
                <w:szCs w:val="23"/>
                <w:color w:val="auto"/>
              </w:rPr>
            </w:pPr>
          </w:p>
        </w:tc>
        <w:tc>
          <w:tcPr>
            <w:tcW w:w="31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3360" w:type="dxa"/>
            <w:vAlign w:val="bottom"/>
            <w:tcBorders>
              <w:top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3360" w:type="dxa"/>
            <w:vAlign w:val="bottom"/>
            <w:tcBorders>
              <w:top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Design</w:t>
            </w:r>
          </w:p>
        </w:tc>
        <w:tc>
          <w:tcPr>
            <w:tcW w:w="0" w:type="dxa"/>
            <w:vAlign w:val="bottom"/>
          </w:tcPr>
          <w:p>
            <w:pPr>
              <w:spacing w:after="0"/>
              <w:rPr>
                <w:sz w:val="1"/>
                <w:szCs w:val="1"/>
                <w:color w:val="auto"/>
              </w:rPr>
            </w:pPr>
          </w:p>
        </w:tc>
      </w:tr>
      <w:tr>
        <w:trPr>
          <w:trHeight w:val="40"/>
        </w:trPr>
        <w:tc>
          <w:tcPr>
            <w:tcW w:w="1380" w:type="dxa"/>
            <w:vAlign w:val="bottom"/>
            <w:tcBorders>
              <w:left w:val="single" w:sz="8" w:color="auto"/>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38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Fixed</w:t>
            </w:r>
          </w:p>
        </w:tc>
        <w:tc>
          <w:tcPr>
            <w:tcW w:w="134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Annual</w:t>
            </w:r>
          </w:p>
        </w:tc>
        <w:tc>
          <w:tcPr>
            <w:tcW w:w="180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Base Salary</w:t>
            </w:r>
          </w:p>
        </w:tc>
        <w:tc>
          <w:tcPr>
            <w:tcW w:w="336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Recognize performance of job</w:t>
            </w:r>
          </w:p>
        </w:tc>
        <w:tc>
          <w:tcPr>
            <w:tcW w:w="336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compensation, payable in cash</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vMerge w:val="continue"/>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800" w:type="dxa"/>
            <w:vAlign w:val="bottom"/>
            <w:tcBorders>
              <w:right w:val="single" w:sz="8" w:color="auto"/>
            </w:tcBorders>
            <w:shd w:val="clear" w:color="auto" w:fill="CCEEFF"/>
          </w:tcPr>
          <w:p>
            <w:pPr>
              <w:spacing w:after="0"/>
              <w:rPr>
                <w:sz w:val="18"/>
                <w:szCs w:val="18"/>
                <w:color w:val="auto"/>
              </w:rPr>
            </w:pPr>
          </w:p>
        </w:tc>
        <w:tc>
          <w:tcPr>
            <w:tcW w:w="336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responsibilities and attract and retain</w:t>
            </w:r>
          </w:p>
        </w:tc>
        <w:tc>
          <w:tcPr>
            <w:tcW w:w="33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38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1340" w:type="dxa"/>
            <w:vAlign w:val="bottom"/>
            <w:tcBorders>
              <w:bottom w:val="single" w:sz="8" w:color="CCEEFF"/>
              <w:right w:val="single" w:sz="8" w:color="auto"/>
            </w:tcBorders>
            <w:shd w:val="clear" w:color="auto" w:fill="CCEEFF"/>
          </w:tcPr>
          <w:p>
            <w:pPr>
              <w:spacing w:after="0"/>
              <w:rPr>
                <w:sz w:val="23"/>
                <w:szCs w:val="23"/>
                <w:color w:val="auto"/>
              </w:rPr>
            </w:pPr>
          </w:p>
        </w:tc>
        <w:tc>
          <w:tcPr>
            <w:tcW w:w="1800" w:type="dxa"/>
            <w:vAlign w:val="bottom"/>
            <w:tcBorders>
              <w:bottom w:val="single" w:sz="8" w:color="CCEEFF"/>
              <w:right w:val="single" w:sz="8" w:color="auto"/>
            </w:tcBorders>
            <w:shd w:val="clear" w:color="auto" w:fill="CCEEFF"/>
          </w:tcPr>
          <w:p>
            <w:pPr>
              <w:spacing w:after="0"/>
              <w:rPr>
                <w:sz w:val="23"/>
                <w:szCs w:val="23"/>
                <w:color w:val="auto"/>
              </w:rPr>
            </w:pPr>
          </w:p>
        </w:tc>
        <w:tc>
          <w:tcPr>
            <w:tcW w:w="33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individuals with superior talent</w:t>
            </w:r>
          </w:p>
        </w:tc>
        <w:tc>
          <w:tcPr>
            <w:tcW w:w="3360" w:type="dxa"/>
            <w:vAlign w:val="bottom"/>
            <w:tcBorders>
              <w:bottom w:val="single" w:sz="8" w:color="CCEEFF"/>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1380" w:type="dxa"/>
            <w:vAlign w:val="bottom"/>
            <w:tcBorders>
              <w:top w:val="single" w:sz="8" w:color="auto"/>
              <w:left w:val="single" w:sz="8" w:color="auto"/>
              <w:right w:val="single" w:sz="8" w:color="auto"/>
            </w:tcBorders>
          </w:tcPr>
          <w:p>
            <w:pPr>
              <w:spacing w:after="0"/>
              <w:rPr>
                <w:sz w:val="20"/>
                <w:szCs w:val="20"/>
                <w:color w:val="auto"/>
              </w:rPr>
            </w:pPr>
          </w:p>
        </w:tc>
        <w:tc>
          <w:tcPr>
            <w:tcW w:w="13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Annual</w:t>
            </w:r>
          </w:p>
        </w:tc>
        <w:tc>
          <w:tcPr>
            <w:tcW w:w="18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Annual Incentive Plan</w:t>
            </w:r>
          </w:p>
        </w:tc>
        <w:tc>
          <w:tcPr>
            <w:tcW w:w="33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Focus, motivate and reward executive</w:t>
            </w:r>
          </w:p>
        </w:tc>
        <w:tc>
          <w:tcPr>
            <w:tcW w:w="33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Short-term cash incentive compensation</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officers for achieving annual financial and</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based on revenue, customer retention and</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Variable</w:t>
            </w:r>
          </w:p>
        </w:tc>
        <w:tc>
          <w:tcPr>
            <w:tcW w:w="13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objectives</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EBITDA performance</w:t>
            </w:r>
          </w:p>
        </w:tc>
        <w:tc>
          <w:tcPr>
            <w:tcW w:w="0" w:type="dxa"/>
            <w:vAlign w:val="bottom"/>
          </w:tcPr>
          <w:p>
            <w:pPr>
              <w:spacing w:after="0"/>
              <w:rPr>
                <w:sz w:val="1"/>
                <w:szCs w:val="1"/>
                <w:color w:val="auto"/>
              </w:rPr>
            </w:pPr>
          </w:p>
        </w:tc>
      </w:tr>
      <w:tr>
        <w:trPr>
          <w:trHeight w:val="40"/>
        </w:trPr>
        <w:tc>
          <w:tcPr>
            <w:tcW w:w="1380" w:type="dxa"/>
            <w:vAlign w:val="bottom"/>
            <w:tcBorders>
              <w:left w:val="single" w:sz="8" w:color="auto"/>
              <w:right w:val="single" w:sz="8" w:color="auto"/>
            </w:tcBorders>
            <w:vMerge w:val="continue"/>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380" w:type="dxa"/>
            <w:vAlign w:val="bottom"/>
            <w:tcBorders>
              <w:left w:val="single" w:sz="8" w:color="auto"/>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w:t>
            </w:r>
          </w:p>
        </w:tc>
        <w:tc>
          <w:tcPr>
            <w:tcW w:w="180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Units</w:t>
            </w:r>
          </w:p>
        </w:tc>
        <w:tc>
          <w:tcPr>
            <w:tcW w:w="336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Encourage retention of top talent and</w:t>
            </w:r>
          </w:p>
        </w:tc>
        <w:tc>
          <w:tcPr>
            <w:tcW w:w="336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Service-based vesting with a minimum one</w:t>
            </w:r>
          </w:p>
        </w:tc>
        <w:tc>
          <w:tcPr>
            <w:tcW w:w="0" w:type="dxa"/>
            <w:vAlign w:val="bottom"/>
          </w:tcPr>
          <w:p>
            <w:pPr>
              <w:spacing w:after="0"/>
              <w:rPr>
                <w:sz w:val="1"/>
                <w:szCs w:val="1"/>
                <w:color w:val="auto"/>
              </w:rPr>
            </w:pPr>
          </w:p>
        </w:tc>
      </w:tr>
      <w:tr>
        <w:trPr>
          <w:trHeight w:val="144"/>
        </w:trPr>
        <w:tc>
          <w:tcPr>
            <w:tcW w:w="1380" w:type="dxa"/>
            <w:vAlign w:val="bottom"/>
            <w:tcBorders>
              <w:left w:val="single" w:sz="8" w:color="auto"/>
              <w:right w:val="single" w:sz="8" w:color="auto"/>
            </w:tcBorders>
          </w:tcPr>
          <w:p>
            <w:pPr>
              <w:spacing w:after="0"/>
              <w:rPr>
                <w:sz w:val="12"/>
                <w:szCs w:val="12"/>
                <w:color w:val="auto"/>
              </w:rPr>
            </w:pPr>
          </w:p>
        </w:tc>
        <w:tc>
          <w:tcPr>
            <w:tcW w:w="1340" w:type="dxa"/>
            <w:vAlign w:val="bottom"/>
            <w:tcBorders>
              <w:right w:val="single" w:sz="8" w:color="auto"/>
            </w:tcBorders>
            <w:vMerge w:val="continue"/>
            <w:shd w:val="clear" w:color="auto" w:fill="CCEEFF"/>
          </w:tcPr>
          <w:p>
            <w:pPr>
              <w:spacing w:after="0"/>
              <w:rPr>
                <w:sz w:val="12"/>
                <w:szCs w:val="12"/>
                <w:color w:val="auto"/>
              </w:rPr>
            </w:pPr>
          </w:p>
        </w:tc>
        <w:tc>
          <w:tcPr>
            <w:tcW w:w="1800" w:type="dxa"/>
            <w:vAlign w:val="bottom"/>
            <w:tcBorders>
              <w:right w:val="single" w:sz="8" w:color="auto"/>
            </w:tcBorders>
            <w:vMerge w:val="continue"/>
            <w:shd w:val="clear" w:color="auto" w:fill="CCEEFF"/>
          </w:tcPr>
          <w:p>
            <w:pPr>
              <w:spacing w:after="0"/>
              <w:rPr>
                <w:sz w:val="12"/>
                <w:szCs w:val="12"/>
                <w:color w:val="auto"/>
              </w:rPr>
            </w:pPr>
          </w:p>
        </w:tc>
        <w:tc>
          <w:tcPr>
            <w:tcW w:w="3360" w:type="dxa"/>
            <w:vAlign w:val="bottom"/>
            <w:tcBorders>
              <w:right w:val="single" w:sz="8" w:color="auto"/>
            </w:tcBorders>
            <w:vMerge w:val="continue"/>
            <w:shd w:val="clear" w:color="auto" w:fill="CCEEFF"/>
          </w:tcPr>
          <w:p>
            <w:pPr>
              <w:spacing w:after="0"/>
              <w:rPr>
                <w:sz w:val="12"/>
                <w:szCs w:val="12"/>
                <w:color w:val="auto"/>
              </w:rPr>
            </w:pPr>
          </w:p>
        </w:tc>
        <w:tc>
          <w:tcPr>
            <w:tcW w:w="3360" w:type="dxa"/>
            <w:vAlign w:val="bottom"/>
            <w:tcBorders>
              <w:right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80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&amp; Stock Option</w:t>
            </w:r>
          </w:p>
        </w:tc>
        <w:tc>
          <w:tcPr>
            <w:tcW w:w="336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promote an employee ownership culture over</w:t>
            </w:r>
          </w:p>
        </w:tc>
        <w:tc>
          <w:tcPr>
            <w:tcW w:w="336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cliff</w:t>
            </w:r>
          </w:p>
        </w:tc>
        <w:tc>
          <w:tcPr>
            <w:tcW w:w="0" w:type="dxa"/>
            <w:vAlign w:val="bottom"/>
          </w:tcPr>
          <w:p>
            <w:pPr>
              <w:spacing w:after="0"/>
              <w:rPr>
                <w:sz w:val="1"/>
                <w:szCs w:val="1"/>
                <w:color w:val="auto"/>
              </w:rPr>
            </w:pPr>
          </w:p>
        </w:tc>
      </w:tr>
      <w:tr>
        <w:trPr>
          <w:trHeight w:val="255"/>
        </w:trPr>
        <w:tc>
          <w:tcPr>
            <w:tcW w:w="1380" w:type="dxa"/>
            <w:vAlign w:val="bottom"/>
            <w:tcBorders>
              <w:left w:val="single" w:sz="8" w:color="auto"/>
              <w:right w:val="single" w:sz="8" w:color="auto"/>
            </w:tcBorders>
          </w:tcPr>
          <w:p>
            <w:pPr>
              <w:spacing w:after="0"/>
              <w:rPr>
                <w:sz w:val="22"/>
                <w:szCs w:val="22"/>
                <w:color w:val="auto"/>
              </w:rPr>
            </w:pPr>
          </w:p>
        </w:tc>
        <w:tc>
          <w:tcPr>
            <w:tcW w:w="1340" w:type="dxa"/>
            <w:vAlign w:val="bottom"/>
            <w:tcBorders>
              <w:bottom w:val="single" w:sz="8" w:color="CCEEFF"/>
              <w:right w:val="single" w:sz="8" w:color="auto"/>
            </w:tcBorders>
            <w:shd w:val="clear" w:color="auto" w:fill="CCEEFF"/>
          </w:tcPr>
          <w:p>
            <w:pPr>
              <w:spacing w:after="0"/>
              <w:rPr>
                <w:sz w:val="22"/>
                <w:szCs w:val="22"/>
                <w:color w:val="auto"/>
              </w:rPr>
            </w:pPr>
          </w:p>
        </w:tc>
        <w:tc>
          <w:tcPr>
            <w:tcW w:w="18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w:t>
            </w:r>
          </w:p>
        </w:tc>
        <w:tc>
          <w:tcPr>
            <w:tcW w:w="33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long-term</w:t>
            </w:r>
          </w:p>
        </w:tc>
        <w:tc>
          <w:tcPr>
            <w:tcW w:w="336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3360" w:type="dxa"/>
            <w:vAlign w:val="bottom"/>
            <w:tcBorders>
              <w:right w:val="single" w:sz="8" w:color="auto"/>
            </w:tcBorders>
            <w:shd w:val="clear" w:color="auto" w:fill="000000"/>
          </w:tcPr>
          <w:p>
            <w:pPr>
              <w:spacing w:after="0" w:line="20" w:lineRule="exact"/>
              <w:rPr>
                <w:sz w:val="1"/>
                <w:szCs w:val="1"/>
                <w:color w:val="auto"/>
              </w:rPr>
            </w:pPr>
          </w:p>
        </w:tc>
        <w:tc>
          <w:tcPr>
            <w:tcW w:w="33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 salaries provide a fixed level of cash compensation for our executive officers, including our NEOs. When setting salaries, the Compensation Committee considers each executive officer’s responsibilities and performance against job expectations, experience and tenure as well as the impact of base salary on other compensation elements. The Compensation Committee’s review of these factors is subjective and no fixed value or weight is assigned to any specific factor when making salary recommendations. The table below sets forth the annual base salaries approved for each of our NEOs for 2025 and 2024, as well as the percentage year-over-year change.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Base Salary</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38"/>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3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60" w:type="dxa"/>
            <w:vAlign w:val="bottom"/>
            <w:tcBorders>
              <w:bottom w:val="single" w:sz="8" w:color="CCEEFF"/>
            </w:tcBorders>
          </w:tcPr>
          <w:p>
            <w:pPr>
              <w:spacing w:after="0"/>
              <w:rPr>
                <w:sz w:val="20"/>
                <w:szCs w:val="20"/>
                <w:color w:val="auto"/>
              </w:rPr>
            </w:pP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Khurram P. Sheikh</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325,000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39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Joy L. Mbanugo</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250,000</w:t>
            </w:r>
            <w:r>
              <w:rPr>
                <w:rFonts w:ascii="Times New Roman" w:cs="Times New Roman" w:eastAsia="Times New Roman" w:hAnsi="Times New Roman"/>
                <w:sz w:val="29"/>
                <w:szCs w:val="29"/>
                <w:color w:val="auto"/>
                <w:vertAlign w:val="superscript"/>
              </w:rPr>
              <w:t>(1)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7" w:lineRule="exact"/>
        <w:rPr>
          <w:sz w:val="20"/>
          <w:szCs w:val="20"/>
          <w:color w:val="auto"/>
        </w:rPr>
      </w:pPr>
    </w:p>
    <w:p>
      <w:pPr>
        <w:ind w:left="340" w:right="20" w:hanging="332"/>
        <w:spacing w:after="0" w:line="195"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Ms. Mbanugo’s actual salary paid in 2024 was $92,948, which was pro-rated to reflect that her employment start date with the Company occurred in August 2024.</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salaries paid to our NEOs during 2025 and 2024 are set forth in the “Summary Compensation Table” below.</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Bonus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annual cash incentive bonus compensation is designed to motivate and reward our executive officers, including our NEOs, for achieving the Company’s short-term financial and operational objectives and the executive officers’ individual objectives. Each year, the Compensation Committee develops a recommended target annual cash incentive award opportunity for each executive officer expressed as a percentage of their annual base salary, subject to the achievement of pre-established corporate and individual goals, as described below. These recommendations are later approved by the Company’s board. The target annual cash incentive award opportunities of our NEOs as a percentage of base salary for 2025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2025 Bonus Target</w:t>
            </w:r>
          </w:p>
        </w:tc>
        <w:tc>
          <w:tcPr>
            <w:tcW w:w="160" w:type="dxa"/>
            <w:vAlign w:val="bottom"/>
          </w:tcPr>
          <w:p>
            <w:pPr>
              <w:spacing w:after="0"/>
              <w:rPr>
                <w:sz w:val="20"/>
                <w:szCs w:val="20"/>
                <w:color w:val="auto"/>
              </w:rPr>
            </w:pPr>
          </w:p>
        </w:tc>
      </w:tr>
      <w:tr>
        <w:trPr>
          <w:trHeight w:val="196"/>
        </w:trPr>
        <w:tc>
          <w:tcPr>
            <w:tcW w:w="8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60"/>
              <w:spacing w:after="0" w:line="196" w:lineRule="exact"/>
              <w:rPr>
                <w:sz w:val="20"/>
                <w:szCs w:val="20"/>
                <w:color w:val="auto"/>
              </w:rPr>
            </w:pPr>
            <w:r>
              <w:rPr>
                <w:rFonts w:ascii="Times New Roman" w:cs="Times New Roman" w:eastAsia="Times New Roman" w:hAnsi="Times New Roman"/>
                <w:sz w:val="18"/>
                <w:szCs w:val="18"/>
                <w:b w:val="1"/>
                <w:bCs w:val="1"/>
                <w:color w:val="auto"/>
                <w:w w:val="96"/>
              </w:rPr>
              <w:t>Target</w:t>
            </w:r>
          </w:p>
        </w:tc>
        <w:tc>
          <w:tcPr>
            <w:tcW w:w="126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 of</w:t>
            </w:r>
          </w:p>
        </w:tc>
      </w:tr>
      <w:tr>
        <w:trPr>
          <w:trHeight w:val="270"/>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70"/>
              <w:spacing w:after="0" w:line="270" w:lineRule="exact"/>
              <w:rPr>
                <w:sz w:val="20"/>
                <w:szCs w:val="20"/>
                <w:color w:val="auto"/>
              </w:rPr>
            </w:pPr>
            <w:r>
              <w:rPr>
                <w:rFonts w:ascii="Times New Roman" w:cs="Times New Roman" w:eastAsia="Times New Roman" w:hAnsi="Times New Roman"/>
                <w:sz w:val="18"/>
                <w:szCs w:val="18"/>
                <w:b w:val="1"/>
                <w:bCs w:val="1"/>
                <w:color w:val="auto"/>
                <w:w w:val="93"/>
              </w:rPr>
              <w:t>Payout</w:t>
            </w:r>
            <w:r>
              <w:rPr>
                <w:rFonts w:ascii="Times New Roman" w:cs="Times New Roman" w:eastAsia="Times New Roman" w:hAnsi="Times New Roman"/>
                <w:sz w:val="29"/>
                <w:szCs w:val="29"/>
                <w:b w:val="1"/>
                <w:bCs w:val="1"/>
                <w:color w:val="auto"/>
                <w:w w:val="93"/>
                <w:vertAlign w:val="superscript"/>
              </w:rPr>
              <w:t>(1)</w:t>
            </w:r>
          </w:p>
        </w:tc>
        <w:tc>
          <w:tcPr>
            <w:tcW w:w="2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Salary</w:t>
            </w:r>
          </w:p>
        </w:tc>
        <w:tc>
          <w:tcPr>
            <w:tcW w:w="160" w:type="dxa"/>
            <w:vAlign w:val="bottom"/>
            <w:tcBorders>
              <w:bottom w:val="single" w:sz="8" w:color="CCEEFF"/>
            </w:tcBorders>
          </w:tcPr>
          <w:p>
            <w:pPr>
              <w:spacing w:after="0"/>
              <w:rPr>
                <w:sz w:val="23"/>
                <w:szCs w:val="23"/>
                <w:color w:val="auto"/>
              </w:rPr>
            </w:pPr>
          </w:p>
        </w:tc>
      </w:tr>
      <w:tr>
        <w:trPr>
          <w:trHeight w:val="21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Khurram P. Sheikh</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487,500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Joy L. Mbanugo</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6"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salary effective as of December 31, 2025.</w:t>
      </w:r>
    </w:p>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annual cash incentive bonus compensation payouts could range from 10% to 100% of the target annual cash incentive award opportunity based on performance relative to pre-established performance goals. If the threshold amount was not achieved for a particular performance metric, no amount was to be paid for that metric. However, the Compensation Committee retained absolute discretion to modify or eliminate any annual cash incentive awards if the Compensation Committee determined such actions were warranted. The metrics chosen by the Compensation Committee to measure corporate performance for determining payouts under the annual cash incentive bonus compensation were revenue and EBITDA (as calculated in accordance with GAAP). The 2025 performance targets and actual results for these metrics were evaluated by the Compensation Committee based on the performance of various strategic goals and metrics. Growth was assessed through bookings, recurring revenue was evaluated based on the annual recurring revenue rate and profit margins were measured through gross margin. Retention was measured via net revenue retention, budget management was monitored through operating expenses and cash management was tracked via accounts receivable collection rates. Based on these metrics, the Compensation Committee approved annual cash incentive bonus compensation payouts of 100%, 70%, 40% and 40%, during the first quarter, second quarter, third quarter and fourth quarter of 2025,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 Equity Incentive Plan (“EIP”)</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providing long-term incentives in the form of equity awards under the EIP encourages our executive officers, including our NEOs, to take a long-term outlook and provides them with an incentive to manage the Company from the perspective of an owner with an equity stake in the business. By providing opportunities for our employees, including our NEOs, to benefit from future successes in the Company through the appreciation of the value of their equity awards, the Compensation Committee and Board believe that equity awards align employees’ interests and contributions with the long-term interests of our stockholders. In addition, the Compensation Committee and Board believe that offering meaningful equity ownership in the Company is helpful in retaining our executive officers and other key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Policies and Elements of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sponsor a tax-qualified defined contribution plan (the “Section 401(k) plan”) under Section 401(k) of the Internal Revenue Code of 1986, as amended (the “Code”) for all employees, including our NEOs. Employees of the Company are eligible to participate in the Section 401(k) plan and receive employer contributions upon reaching age 18. Participants may contribute between 1% and 90% of their earnings. The Company matches 100% of an employee’s elective salary deferral that does not exceed 4% of the employee’s compensation, subject to IRS limits.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of our executive officers, including any of our NEOs, participate in any defined benefit pension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our executive officers, including any of our NEOs, participate in any non-qualified deferred compensation plans, supplemental executive retirement plans or any other unfunded retirement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Benefits and Perquisites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benefits to our executive officers, including our NEOs, on a similar basis as provided to all of our employees, including health, dental and vision insurance; life insurance; accidental death and dismemberment insurance; short-term and long-term disability insurance; a health savings account and flexible spending accounts. We do not maintain any executive-specific benefit or perquisite programs outside of financial planning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Executive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162(m) of the Code limits the amount that we may deduct from our U.S. federal taxable income for compensation paid to persons who are “covered employees” for purposes of Section 162(m), to $1 million per covered employee per year. While we are mindful of the benefit of full tax deductibility of compensation, we also value the flexibility of compensating our executive officers in a manner that can best promote our corporate objectives. Therefore, the Compensation Committee and the Board may approve compensation that may not be fully deductible because of the limitation of Section 162(m).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Tax Reimbursement of Parachute Payments and Deferred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provide any executive officer, including any NEO, with a “gross-up” or other reimbursement payment for any tax liability that he or she might owe as a result of the application of Sections 280G, 4999 or 409A of the Code, and we have not agreed and are not otherwise obligated to provide any executive officer, including any NEO, with such a “gross-up” or other reimbursement.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Tables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NEOs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32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0"/>
        </w:trPr>
        <w:tc>
          <w:tcPr>
            <w:tcW w:w="1920" w:type="dxa"/>
            <w:vAlign w:val="bottom"/>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29"/>
                <w:szCs w:val="29"/>
                <w:b w:val="1"/>
                <w:bCs w:val="1"/>
                <w:color w:val="auto"/>
                <w:vertAlign w:val="superscript"/>
              </w:rPr>
              <w:t>(1)</w:t>
            </w:r>
          </w:p>
        </w:tc>
        <w:tc>
          <w:tcPr>
            <w:tcW w:w="120" w:type="dxa"/>
            <w:vAlign w:val="bottom"/>
          </w:tcPr>
          <w:p>
            <w:pPr>
              <w:spacing w:after="0"/>
              <w:rPr>
                <w:sz w:val="23"/>
                <w:szCs w:val="23"/>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3"/>
                <w:szCs w:val="23"/>
                <w:color w:val="auto"/>
              </w:rPr>
            </w:pPr>
          </w:p>
        </w:tc>
        <w:tc>
          <w:tcPr>
            <w:tcW w:w="86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(2)</w:t>
            </w:r>
          </w:p>
        </w:tc>
        <w:tc>
          <w:tcPr>
            <w:tcW w:w="220" w:type="dxa"/>
            <w:vAlign w:val="bottom"/>
          </w:tcPr>
          <w:p>
            <w:pPr>
              <w:spacing w:after="0"/>
              <w:rPr>
                <w:sz w:val="23"/>
                <w:szCs w:val="23"/>
                <w:color w:val="auto"/>
              </w:rPr>
            </w:pPr>
          </w:p>
        </w:tc>
        <w:tc>
          <w:tcPr>
            <w:tcW w:w="86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(2)</w:t>
            </w:r>
          </w:p>
        </w:tc>
        <w:tc>
          <w:tcPr>
            <w:tcW w:w="2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3"/>
                <w:szCs w:val="23"/>
                <w:color w:val="auto"/>
              </w:rPr>
            </w:pPr>
          </w:p>
        </w:tc>
        <w:tc>
          <w:tcPr>
            <w:tcW w:w="11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(3)</w:t>
            </w:r>
          </w:p>
        </w:tc>
        <w:tc>
          <w:tcPr>
            <w:tcW w:w="220" w:type="dxa"/>
            <w:vAlign w:val="bottom"/>
          </w:tcPr>
          <w:p>
            <w:pPr>
              <w:spacing w:after="0"/>
              <w:rPr>
                <w:sz w:val="23"/>
                <w:szCs w:val="23"/>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Khurram P. Sheikh</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268,125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325,000</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255,938</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200,001</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1,140,939</w:t>
            </w:r>
          </w:p>
        </w:tc>
        <w:tc>
          <w:tcPr>
            <w:tcW w:w="0" w:type="dxa"/>
            <w:vAlign w:val="bottom"/>
          </w:tcPr>
          <w:p>
            <w:pPr>
              <w:spacing w:after="0"/>
              <w:rPr>
                <w:sz w:val="1"/>
                <w:szCs w:val="1"/>
                <w:color w:val="auto"/>
              </w:rPr>
            </w:pPr>
          </w:p>
        </w:tc>
      </w:tr>
      <w:tr>
        <w:trPr>
          <w:trHeight w:val="196"/>
        </w:trPr>
        <w:tc>
          <w:tcPr>
            <w:tcW w:w="19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Joy L. Mbanugo</w:t>
            </w:r>
          </w:p>
        </w:tc>
        <w:tc>
          <w:tcPr>
            <w:tcW w:w="900" w:type="dxa"/>
            <w:vAlign w:val="bottom"/>
            <w:gridSpan w:val="2"/>
          </w:tcPr>
          <w:p>
            <w:pPr>
              <w:ind w:left="32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7"/>
                <w:szCs w:val="17"/>
                <w:color w:val="auto"/>
              </w:rPr>
            </w:pPr>
          </w:p>
        </w:tc>
        <w:tc>
          <w:tcPr>
            <w:tcW w:w="1200" w:type="dxa"/>
            <w:vAlign w:val="bottom"/>
            <w:gridSpan w:val="2"/>
          </w:tcPr>
          <w:p>
            <w:pPr>
              <w:jc w:val="right"/>
              <w:ind w:right="340"/>
              <w:spacing w:after="0" w:line="195" w:lineRule="exact"/>
              <w:rPr>
                <w:sz w:val="20"/>
                <w:szCs w:val="20"/>
                <w:color w:val="auto"/>
              </w:rPr>
            </w:pPr>
            <w:r>
              <w:rPr>
                <w:rFonts w:ascii="Times New Roman" w:cs="Times New Roman" w:eastAsia="Times New Roman" w:hAnsi="Times New Roman"/>
                <w:sz w:val="18"/>
                <w:szCs w:val="18"/>
                <w:color w:val="auto"/>
              </w:rPr>
              <w:t>250,000</w:t>
            </w: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100,000</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60,000</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410,000</w:t>
            </w:r>
          </w:p>
        </w:tc>
        <w:tc>
          <w:tcPr>
            <w:tcW w:w="0" w:type="dxa"/>
            <w:vAlign w:val="bottom"/>
          </w:tcPr>
          <w:p>
            <w:pPr>
              <w:spacing w:after="0"/>
              <w:rPr>
                <w:sz w:val="1"/>
                <w:szCs w:val="1"/>
                <w:color w:val="auto"/>
              </w:rPr>
            </w:pPr>
          </w:p>
        </w:tc>
      </w:tr>
      <w:tr>
        <w:trPr>
          <w:trHeight w:val="400"/>
        </w:trPr>
        <w:tc>
          <w:tcPr>
            <w:tcW w:w="1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92,948</w:t>
            </w:r>
            <w:r>
              <w:rPr>
                <w:rFonts w:ascii="Times New Roman" w:cs="Times New Roman" w:eastAsia="Times New Roman" w:hAnsi="Times New Roman"/>
                <w:sz w:val="29"/>
                <w:szCs w:val="29"/>
                <w:color w:val="auto"/>
                <w:vertAlign w:val="superscript"/>
              </w:rPr>
              <w:t>(4)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8,485</w:t>
            </w:r>
            <w:r>
              <w:rPr>
                <w:rFonts w:ascii="Times New Roman" w:cs="Times New Roman" w:eastAsia="Times New Roman" w:hAnsi="Times New Roman"/>
                <w:sz w:val="29"/>
                <w:szCs w:val="29"/>
                <w:color w:val="auto"/>
                <w:vertAlign w:val="superscript"/>
              </w:rPr>
              <w:t>(4)</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678,443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83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2" w:lineRule="exact"/>
        <w:rPr>
          <w:sz w:val="20"/>
          <w:szCs w:val="20"/>
          <w:color w:val="auto"/>
        </w:rPr>
      </w:pPr>
    </w:p>
    <w:p>
      <w:pPr>
        <w:ind w:left="340" w:hanging="332"/>
        <w:spacing w:after="0" w:line="195"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listed principal position of each named executive officer is the principal position each named executive officer holds with CXApp. Mr. Sheikh served as Chairman and Chief Executive Officer of CXApp. Mrs. Mbanugo served as Chief Financial Officer of CXApp.</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14"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amounts reported in the “Stock Awards” and “Option Awards” columns represent the aggregate grant-date fair value of awards granted during the applicable fiscal year, computed in accordance with Financial Accounting Standards Board Accounting Standards Codification Topic 718, Compensation—Stock Compensation. The assumptions used in calculating these values are described in Note 10 to the Company’s financial statements included in our Form 10-K. Mr. Sheikh’s Stock Awards were granted in connection with his service on our Board.</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fiscal 2025, the NEOs did not receive perquisites or personal benefits in excess of $10,000 or otherwise have reportable “All Other Compensation.”</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Mrs. Mbanugo’s Salary and Bonus for 2024 were prorated to reflect her service as Chief Financial Officer from August 19, 2024 through December 31, 2024.</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2025 Outstanding Equity Awards at Fiscal Year-End Table</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04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The following table shows all outstanding equity awards held by our NEOs as of December 31, 2025.</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7"/>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6"/>
                <w:szCs w:val="16"/>
                <w:color w:val="auto"/>
              </w:rPr>
            </w:pPr>
          </w:p>
        </w:tc>
      </w:tr>
      <w:tr>
        <w:trPr>
          <w:trHeight w:val="225"/>
        </w:trPr>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Shares or</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of</w:t>
            </w:r>
          </w:p>
        </w:tc>
      </w:tr>
      <w:tr>
        <w:trPr>
          <w:trHeight w:val="216"/>
        </w:trPr>
        <w:tc>
          <w:tcPr>
            <w:tcW w:w="346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That</w:t>
            </w:r>
          </w:p>
        </w:tc>
      </w:tr>
      <w:tr>
        <w:trPr>
          <w:trHeight w:val="216"/>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16"/>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70"/>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3"/>
                <w:szCs w:val="23"/>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40" w:type="dxa"/>
            <w:vAlign w:val="bottom"/>
          </w:tcPr>
          <w:p>
            <w:pPr>
              <w:spacing w:after="0"/>
              <w:rPr>
                <w:sz w:val="23"/>
                <w:szCs w:val="23"/>
                <w:color w:val="auto"/>
              </w:rPr>
            </w:pPr>
          </w:p>
        </w:tc>
        <w:tc>
          <w:tcPr>
            <w:tcW w:w="88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100" w:type="dxa"/>
            <w:vAlign w:val="bottom"/>
          </w:tcPr>
          <w:p>
            <w:pPr>
              <w:spacing w:after="0"/>
              <w:rPr>
                <w:sz w:val="23"/>
                <w:szCs w:val="23"/>
                <w:color w:val="auto"/>
              </w:rPr>
            </w:pPr>
          </w:p>
        </w:tc>
      </w:tr>
      <w:tr>
        <w:trPr>
          <w:trHeight w:val="209"/>
        </w:trPr>
        <w:tc>
          <w:tcPr>
            <w:tcW w:w="3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Khurram P. Sheikh</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29, 2023 Grant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844,200</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March 29, 2033</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14, 2023 Grant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August 14, 2033</w:t>
            </w:r>
          </w:p>
        </w:tc>
        <w:tc>
          <w:tcPr>
            <w:tcW w:w="122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10,000</w:t>
            </w:r>
            <w:r>
              <w:rPr>
                <w:rFonts w:ascii="Times New Roman" w:cs="Times New Roman" w:eastAsia="Times New Roman" w:hAnsi="Times New Roman"/>
                <w:sz w:val="29"/>
                <w:szCs w:val="29"/>
                <w:color w:val="auto"/>
                <w:vertAlign w:val="superscript"/>
              </w:rPr>
              <w:t>(2)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3,320</w:t>
            </w:r>
          </w:p>
        </w:tc>
      </w:tr>
      <w:tr>
        <w:trPr>
          <w:trHeight w:val="257"/>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6, 2024 Grant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300,000</w:t>
            </w:r>
            <w:r>
              <w:rPr>
                <w:rFonts w:ascii="Times New Roman" w:cs="Times New Roman" w:eastAsia="Times New Roman" w:hAnsi="Times New Roman"/>
                <w:sz w:val="29"/>
                <w:szCs w:val="29"/>
                <w:color w:val="auto"/>
                <w:vertAlign w:val="superscript"/>
              </w:rPr>
              <w:t>(3)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February 6, 2034</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23, 2025 Grant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23, 2035</w:t>
            </w:r>
          </w:p>
        </w:tc>
        <w:tc>
          <w:tcPr>
            <w:tcW w:w="122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200,000</w:t>
            </w:r>
            <w:r>
              <w:rPr>
                <w:rFonts w:ascii="Times New Roman" w:cs="Times New Roman" w:eastAsia="Times New Roman" w:hAnsi="Times New Roman"/>
                <w:sz w:val="29"/>
                <w:szCs w:val="29"/>
                <w:color w:val="auto"/>
                <w:vertAlign w:val="superscript"/>
              </w:rPr>
              <w:t>(4)</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66,400</w:t>
            </w:r>
          </w:p>
        </w:tc>
      </w:tr>
      <w:tr>
        <w:trPr>
          <w:trHeight w:val="25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23, 2025 Grant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250,000</w:t>
            </w:r>
            <w:r>
              <w:rPr>
                <w:rFonts w:ascii="Times New Roman" w:cs="Times New Roman" w:eastAsia="Times New Roman" w:hAnsi="Times New Roman"/>
                <w:sz w:val="29"/>
                <w:szCs w:val="29"/>
                <w:color w:val="auto"/>
                <w:vertAlign w:val="superscript"/>
              </w:rPr>
              <w:t>(5)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23, 2035</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Joy L. Mbanugo</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26, 2024 Grant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102,223</w:t>
            </w:r>
          </w:p>
        </w:tc>
        <w:tc>
          <w:tcPr>
            <w:tcW w:w="142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127,777</w:t>
            </w:r>
            <w:r>
              <w:rPr>
                <w:rFonts w:ascii="Times New Roman" w:cs="Times New Roman" w:eastAsia="Times New Roman" w:hAnsi="Times New Roman"/>
                <w:sz w:val="29"/>
                <w:szCs w:val="29"/>
                <w:color w:val="auto"/>
                <w:vertAlign w:val="superscript"/>
              </w:rPr>
              <w:t>(5)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August 26, 2034</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23, 2025 Grant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29"/>
                <w:szCs w:val="29"/>
                <w:color w:val="auto"/>
                <w:vertAlign w:val="superscript"/>
              </w:rPr>
              <w:t>(5)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23, 2035</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10"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amounts in this column represent the market value of the RSUs held by our NEOs as of December 31, 2025, calculated by multiplying the number of RSUs by $0.332, the closing price of our Class A common stock on December 31, 2025. These amounts do not reflect the actual economic value that may be realized by our NEOs upon the vesting or settlement of the RSUs.</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Vests in three years with 37,233 shares on the first anniversary of the grant date, and 10,000 shares on each of the second and third anniversary of the grant date, respectively.</w:t>
      </w:r>
    </w:p>
    <w:p>
      <w:pPr>
        <w:spacing w:after="0" w:line="1" w:lineRule="exact"/>
        <w:rPr>
          <w:rFonts w:ascii="Times New Roman" w:cs="Times New Roman" w:eastAsia="Times New Roman" w:hAnsi="Times New Roman"/>
          <w:sz w:val="30"/>
          <w:szCs w:val="30"/>
          <w:color w:val="auto"/>
          <w:vertAlign w:val="superscript"/>
        </w:rPr>
      </w:pPr>
    </w:p>
    <w:p>
      <w:pPr>
        <w:ind w:left="340" w:right="20" w:hanging="332"/>
        <w:spacing w:after="0" w:line="187"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Vests in four years with 50% vesting on the second anniversary of the grant date, and 25% on the third anniversary of the grant date, and 25% on the fourth anniversary of the grant date.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Vests in full on the first anniversary of the grant date, provided that Mr. Sheikh continues to serve as a director of the Company through such date.</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87"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Vests with respect to 1/3 of the award on the first anniversary of the grant date, with the remaining 2/3 vesting in substantially equal monthly installments over the following 24 months.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Timing of Option Awards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was noted above, our executive compensation program includes long-term incentive compensation in the form of equity awards, including stock options. Our standard practice is for the committee to annually approve the grant of equity awards, including stock options, under the Amended and Restated CXApp Inc. 2023 Equity Incentive Plan (the “2023 Plan”) for the current calendar year at each regularly scheduled meeting of the Compensation Committee. The grant date for our annual equity awards under the 2023 Plan, including stock options, is generally in May of each applicable calendar year.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grant date for annual equity awards under the 2023 Plan occurs at a time when the Company is generally not expected to be in possession of material non-public information regarding our business, and at a time when the Company is not expected to have recently disclosed, or to be imminently disclosing, material non-public information. Were it to happen that, in a particular year, the Company were to be in possession of material non-public information at or around the time of the approval date and/or the grant date for annual equity awards under the 2023 Plan, the Compensation Committee may consider departing from the regular stock option grant timing if it deems such departure to be appropriate and in the best interests of the Company and its stockholders.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grant equity awards, including options, to NEOs and other eligible executives outside of our annual award cycle for new hires, promotions, recognition, retention, or other purposes. In determining when to grant “off-cycle” stock option awards, the Compensation Committee generally would seek to do so at a time when the Company is not expected to be in possession of material non-public information regarding our business, and at a time when the Company is not expected to have recently disclosed, or to be imminently disclosing, material non-public information.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fiscal year 2025, the Company did not grant any stock options to any of its NEOs in any period beginning four business days prior to the filing of a periodic report on Form 10-Q, Form 10-K or current report on Form 8-K that discloses material non-public information, and ending one business day after the filing of such Form 10-Q, Form 10-K or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Acceleration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of a “change in control” or “merger” of the Company, as defined in our equity plan, each outstanding option or equity award will be assumed or an equivalent option or award substituted by the successor company. In the event that the successor company refuses to assume or substitute for the option or equity award, the participant will fully vest in and have the right to exercise all of his or her options or stock appreciation rights, including shares as to which such awards would not otherwise be vested or exercisable, all restrictions on restricted stock will lapse, and, with respect to RSUs, performance shares and performance units, all performance goals or other vesting criteria will be deemed achieved at target levels and all other terms and conditions met. In addition, if an option or stock appreciation right becomes fully vested and exercisable in lieu of assumption or substitution in the event of a change in control, the administrator of the plan will notify the participant that the option or stock appreciation right will be fully vested and exercisable for a period of time determined by the administrator, and the option or stock appreciation right will terminate upon the expiration of such period.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with Executive Officers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employment agreements with our executive officers, including our NEOs, pursuant to which each is entitled to certain payments, rights and benefits in connection with a termination of employment.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employment agreements with each of our NEOs provide that if the executive officer’s employment is terminated without Just Cause (as such term is defined below) or the executive officer resigns for Good Reason (as such term is defined below), Company shall: (1) pay lump-sum to the executive officer his or her base salary then in effect, subject to customary payroll practices and withholdings, for six (6) or twelve (12) months immediately after the date of termination or resignation; (2) no later than 15 days after termination or resignation, pay to the executive officer 100% of the value of the target bonus; (3) the vesting on all outstanding equity awards will be accelerated by 6 months or 12 months; (4) upon termination or resignation, pay to the executive officer the value of any accrued but unpaid vacation time; (5) upon termination or resignation, pay to the executive officer any unreimbursed business expenses and travel expenses that are reimbursable under the employment agreement that have been incurred by the executive officer, subject to the submission of any required documentation; and (6) upon termination or resignation pay any required COBRA premiums based on coverage then in effect for six (6) or twelve (12) months.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executive officer’s employment is terminated by the Company for Just Cause or the executive officer terminates his or her employment for any reason other than a Good Reason, the Company will be required to pay to the executive officer only that portion of his or her base salary and accrued but unused vacation pay that has been earned through the date of termination.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the vesting of stock options will automatically be accelerated so that 100% of the unvested shares covered by such stock options will be fully vested upon the consummation of the change in control.</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“Just Cause” for purposes of the NEOs’ employment agreements means: (A) executive officer’s fraud, gross malfeasance, gross negligence or willful misconduct, with respect to the Company’s business affairs; (B) executive officer’s refusal or repeated failure to follow the Company’s established reasonable and lawful written policies; (C) executive officer’s material breach of their employment agreement; or (D) executive officer’s conviction of a felony or crime involving moral turpitude. A termination of an executive officer for Just Cause based on clause (A), (B) or (C) will take effect fifteen (15) business days after the Company gives written notice of its intent to terminate the executive officer’s employment and the Company’s description of the alleged cause, unless the executive officer, in the good-faith opinion of the Company, during such fifteen (15) business day period, remedies the events or circumstances constituting Just Cause.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 Reason” for purposes of the NEOs’ employment agreements means the executive officer resigns from employment (1) as a result of and upon a material diminution of the executive officer’s duties, responsibilities, authority, position or a material reduction of the executive officer’s compensation and benefits, (2) the Company’s material breach of the terms of the employment agreement, or (3) relocation of the executive officer’s primary work location by more than fifty (50) miles.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regarding the relationship between executive compensation actually paid to our named executive officers and certain financial performance measures of the Company. The disclosure included in this section is prescribed by SEC rules and does not necessarily align with how the Company or the Compensation Committee view the link between the Company’s performance and NEO pay. This disclosure is intended to comply with the requirements of Item 402(v) of Regulation S-K applicable to “smaller reporting companies.” The following table sets forth information concerning the compensation of our principal executive officer (“PEO”) and our other named executive officers (“NEOs”) for each of fiscal years 2024 and 2025, alongside the Company’s total shareholder return (“TSR”) and net income (loss) for those years. As a smaller reporting company, we have not included disclosure with respect to the cumulative TSR of any peer group or a “Company Selected Measure.”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rPr>
              <w:t>Fixed $100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Based 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Non-PEO</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Non-PEO</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Net Income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PEO</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to PEO</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Return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27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2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29"/>
                <w:szCs w:val="29"/>
                <w:b w:val="1"/>
                <w:bCs w:val="1"/>
                <w:color w:val="auto"/>
                <w:w w:val="91"/>
                <w:vertAlign w:val="superscript"/>
              </w:rPr>
              <w:t>(1)</w:t>
            </w:r>
          </w:p>
        </w:tc>
        <w:tc>
          <w:tcPr>
            <w:tcW w:w="260" w:type="dxa"/>
            <w:vAlign w:val="bottom"/>
          </w:tcPr>
          <w:p>
            <w:pPr>
              <w:spacing w:after="0"/>
              <w:rPr>
                <w:sz w:val="23"/>
                <w:szCs w:val="23"/>
                <w:color w:val="auto"/>
              </w:rPr>
            </w:pPr>
          </w:p>
        </w:tc>
        <w:tc>
          <w:tcPr>
            <w:tcW w:w="112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29"/>
                <w:szCs w:val="29"/>
                <w:b w:val="1"/>
                <w:bCs w:val="1"/>
                <w:color w:val="auto"/>
                <w:w w:val="91"/>
                <w:vertAlign w:val="superscript"/>
              </w:rPr>
              <w:t>(2)</w:t>
            </w:r>
          </w:p>
        </w:tc>
        <w:tc>
          <w:tcPr>
            <w:tcW w:w="240" w:type="dxa"/>
            <w:vAlign w:val="bottom"/>
          </w:tcPr>
          <w:p>
            <w:pPr>
              <w:spacing w:after="0"/>
              <w:rPr>
                <w:sz w:val="23"/>
                <w:szCs w:val="23"/>
                <w:color w:val="auto"/>
              </w:rPr>
            </w:pPr>
          </w:p>
        </w:tc>
        <w:tc>
          <w:tcPr>
            <w:tcW w:w="114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220" w:type="dxa"/>
            <w:vAlign w:val="bottom"/>
          </w:tcPr>
          <w:p>
            <w:pPr>
              <w:spacing w:after="0"/>
              <w:rPr>
                <w:sz w:val="23"/>
                <w:szCs w:val="23"/>
                <w:color w:val="auto"/>
              </w:rPr>
            </w:pPr>
          </w:p>
        </w:tc>
        <w:tc>
          <w:tcPr>
            <w:tcW w:w="11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(2)</w:t>
            </w:r>
          </w:p>
        </w:tc>
        <w:tc>
          <w:tcPr>
            <w:tcW w:w="2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1,043,125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593,125</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26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2"/>
              </w:rPr>
              <w:t>(13,473,000)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1,140,939</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580,938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678,433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123,433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(19,408,000)</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4" w:lineRule="exact"/>
        <w:rPr>
          <w:sz w:val="20"/>
          <w:szCs w:val="20"/>
          <w:color w:val="auto"/>
        </w:rPr>
      </w:pPr>
    </w:p>
    <w:p>
      <w:pPr>
        <w:ind w:left="340" w:hanging="332"/>
        <w:spacing w:after="0" w:line="195"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Reflects amounts reported in the “Summary Compensation Table” for the PEOs set forth below and average amounts reported in the “Summary Compensation Table” for the non-PEO NEOs set forth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PEO</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Non-PEO NEOs</w:t>
            </w:r>
          </w:p>
        </w:tc>
      </w:tr>
      <w:tr>
        <w:trPr>
          <w:trHeight w:val="210"/>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Khurram P. Sheikh</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Joy L. Mbanugo</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Khurram P. Sheikh</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Joy L. Mbanugo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ind w:left="34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Compensation actually paid for the PEOs and average compensation actually paid for our non-PEOs in 2025 and 2024 reflect the respective amounts set forth in these columns, adjusted as follows in accordance with the SEC’s pay versus performance disclosure rules: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PEO (Khurram P. Sheikh)</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68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Summary Compensation Table Total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1,140,939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Less: Reported Fair Value of Equity Awards</w:t>
            </w:r>
            <w:r>
              <w:rPr>
                <w:rFonts w:ascii="Times New Roman" w:cs="Times New Roman" w:eastAsia="Times New Roman" w:hAnsi="Times New Roman"/>
                <w:sz w:val="29"/>
                <w:szCs w:val="29"/>
                <w:color w:val="auto"/>
                <w:vertAlign w:val="superscript"/>
              </w:rPr>
              <w:t>(a)</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(560,001)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Add: Year End Fair Value of Equity Awards Granted During Year</w:t>
            </w:r>
            <w:r>
              <w:rPr>
                <w:rFonts w:ascii="Times New Roman" w:cs="Times New Roman" w:eastAsia="Times New Roman" w:hAnsi="Times New Roman"/>
                <w:sz w:val="29"/>
                <w:szCs w:val="29"/>
                <w:color w:val="auto"/>
                <w:vertAlign w:val="superscript"/>
              </w:rPr>
              <w:t>(b)(i)</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Add: Change in Fair Value of Outstanding and Unvested Equity Awards Granted in a Prior Year</w:t>
            </w:r>
            <w:r>
              <w:rPr>
                <w:rFonts w:ascii="Times New Roman" w:cs="Times New Roman" w:eastAsia="Times New Roman" w:hAnsi="Times New Roman"/>
                <w:sz w:val="29"/>
                <w:szCs w:val="29"/>
                <w:color w:val="auto"/>
                <w:vertAlign w:val="superscript"/>
              </w:rPr>
              <w:t>(b)(ii)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Add: Fair Value as of Vesting Date of Equity Awards Granted and Vested in the Same Year</w:t>
            </w:r>
            <w:r>
              <w:rPr>
                <w:rFonts w:ascii="Times New Roman" w:cs="Times New Roman" w:eastAsia="Times New Roman" w:hAnsi="Times New Roman"/>
                <w:sz w:val="29"/>
                <w:szCs w:val="29"/>
                <w:color w:val="auto"/>
                <w:vertAlign w:val="superscript"/>
              </w:rPr>
              <w:t>(b)(iii)</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Add: Change in Fair Value of Equity Awards Granted in Prior Years that Vested in the Year</w:t>
            </w:r>
            <w:r>
              <w:rPr>
                <w:rFonts w:ascii="Times New Roman" w:cs="Times New Roman" w:eastAsia="Times New Roman" w:hAnsi="Times New Roman"/>
                <w:sz w:val="29"/>
                <w:szCs w:val="29"/>
                <w:color w:val="auto"/>
                <w:vertAlign w:val="superscript"/>
              </w:rPr>
              <w:t>(b)(iv)</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w w:val="99"/>
              </w:rPr>
              <w:t>Less: Fair Value at the End of the Prior Year of Equity Awards that Failed to Meet Vesting Conditions in the Year</w:t>
            </w:r>
            <w:r>
              <w:rPr>
                <w:rFonts w:ascii="Times New Roman" w:cs="Times New Roman" w:eastAsia="Times New Roman" w:hAnsi="Times New Roman"/>
                <w:sz w:val="29"/>
                <w:szCs w:val="29"/>
                <w:color w:val="auto"/>
                <w:w w:val="99"/>
                <w:vertAlign w:val="superscript"/>
              </w:rPr>
              <w:t>(b)(v)</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Add: Fair Value of Incremental Dividends or Earnings Paid on Equity Awards</w:t>
            </w:r>
            <w:r>
              <w:rPr>
                <w:rFonts w:ascii="Times New Roman" w:cs="Times New Roman" w:eastAsia="Times New Roman" w:hAnsi="Times New Roman"/>
                <w:sz w:val="29"/>
                <w:szCs w:val="29"/>
                <w:color w:val="auto"/>
                <w:vertAlign w:val="superscript"/>
              </w:rPr>
              <w:t>(b)(vi)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Compensation Actually Paid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Non-PEOs NEOs (average)</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vMerge w:val="continue"/>
          </w:tcPr>
          <w:p>
            <w:pPr>
              <w:spacing w:after="0"/>
              <w:rPr>
                <w:sz w:val="24"/>
                <w:szCs w:val="24"/>
                <w:color w:val="auto"/>
              </w:rPr>
            </w:pPr>
          </w:p>
        </w:tc>
        <w:tc>
          <w:tcPr>
            <w:tcW w:w="11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Summary Compensation Table Total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678,433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Less: Reported Fair Value of Equity Awards</w:t>
            </w:r>
            <w:r>
              <w:rPr>
                <w:rFonts w:ascii="Times New Roman" w:cs="Times New Roman" w:eastAsia="Times New Roman" w:hAnsi="Times New Roman"/>
                <w:sz w:val="29"/>
                <w:szCs w:val="29"/>
                <w:color w:val="auto"/>
                <w:vertAlign w:val="superscript"/>
              </w:rPr>
              <w:t>(a)</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(552,000)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Add: Year End Fair Value of Equity Awards Granted During Year</w:t>
            </w:r>
            <w:r>
              <w:rPr>
                <w:rFonts w:ascii="Times New Roman" w:cs="Times New Roman" w:eastAsia="Times New Roman" w:hAnsi="Times New Roman"/>
                <w:sz w:val="29"/>
                <w:szCs w:val="29"/>
                <w:color w:val="auto"/>
                <w:vertAlign w:val="superscript"/>
              </w:rPr>
              <w:t>(b)(i)</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Add: Change in Fair Value of Outstanding and Unvested Equity Awards Granted in a Prior Year</w:t>
            </w:r>
            <w:r>
              <w:rPr>
                <w:rFonts w:ascii="Times New Roman" w:cs="Times New Roman" w:eastAsia="Times New Roman" w:hAnsi="Times New Roman"/>
                <w:sz w:val="29"/>
                <w:szCs w:val="29"/>
                <w:color w:val="auto"/>
                <w:vertAlign w:val="superscript"/>
              </w:rPr>
              <w:t>(b)(ii)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Add: Fair Value as of Vesting Date of Equity Awards Granted and Vested in the Same Year</w:t>
            </w:r>
            <w:r>
              <w:rPr>
                <w:rFonts w:ascii="Times New Roman" w:cs="Times New Roman" w:eastAsia="Times New Roman" w:hAnsi="Times New Roman"/>
                <w:sz w:val="29"/>
                <w:szCs w:val="29"/>
                <w:color w:val="auto"/>
                <w:vertAlign w:val="superscript"/>
              </w:rPr>
              <w:t>(b)(iii)</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Add: Change in Fair Value of Equity Awards Granted in Prior Years that Vested in the Year</w:t>
            </w:r>
            <w:r>
              <w:rPr>
                <w:rFonts w:ascii="Times New Roman" w:cs="Times New Roman" w:eastAsia="Times New Roman" w:hAnsi="Times New Roman"/>
                <w:sz w:val="29"/>
                <w:szCs w:val="29"/>
                <w:color w:val="auto"/>
                <w:vertAlign w:val="superscript"/>
              </w:rPr>
              <w:t>(b)(iv)</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w w:val="99"/>
              </w:rPr>
              <w:t>Less: Fair Value at the End of the Prior Year of Equity Awards that Failed to Meet Vesting Conditions in the Year</w:t>
            </w:r>
            <w:r>
              <w:rPr>
                <w:rFonts w:ascii="Times New Roman" w:cs="Times New Roman" w:eastAsia="Times New Roman" w:hAnsi="Times New Roman"/>
                <w:sz w:val="29"/>
                <w:szCs w:val="29"/>
                <w:color w:val="auto"/>
                <w:w w:val="99"/>
                <w:vertAlign w:val="superscript"/>
              </w:rPr>
              <w:t>(b)(v)</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Add: Fair Value of Incremental Dividends or Earnings Paid on Equity Awards</w:t>
            </w:r>
            <w:r>
              <w:rPr>
                <w:rFonts w:ascii="Times New Roman" w:cs="Times New Roman" w:eastAsia="Times New Roman" w:hAnsi="Times New Roman"/>
                <w:sz w:val="29"/>
                <w:szCs w:val="29"/>
                <w:color w:val="auto"/>
                <w:vertAlign w:val="superscript"/>
              </w:rPr>
              <w:t>(b)(vi)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Compensation Actually Paid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line="19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grant date fair value of equity awards represents the total of the amounts reported in the “Stock Awards” and “Option Awards” columns in the Summary Compensation Table for the applicable year.</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34"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equity awards in the applicable year prior to the vesting date that are not otherwise included in the total compensation for the applicable year. The assumptions used to calculate the fair values set forth in the table above are computed in accordance with ASC 718 and did not differ materially from those used to calculate the grant date fair value for each award.</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Most Important Measures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tabular disclosure of our most important financial performance measures.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Performance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graphics below illustrate the relationship between the Compensation Actually Paid to the PEO and the average of the non-PEO NEOs and (i) total shareholder return for the Company and (ii) net income, in each case, for fiscal 2024 and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114300</wp:posOffset>
            </wp:positionV>
            <wp:extent cx="5143500" cy="26492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graph compares Compensation Actually Paid to the PEO and the average Compensation Actually Paid to the non-PEO NEOs with the Company’s total shareholder return. TSR assumes an initial fixed investment of $100 immediately prior to the beginning of fiscal year 2024 and reflects cumulative returns through the end of each fiscal year. The Company has not included peer group TSR, consistent with scaled disclosure requirements applicable to smaller reporting companies.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500380</wp:posOffset>
            </wp:positionV>
            <wp:extent cx="5143500" cy="26149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143500"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graph compares Compensation Actually Paid to the PEO and the average Compensation Actually Paid to the non PEO NEOs with the Company’s net income (loss) for each of fiscal years 2024 and 2025.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Overall, variations in Compensation Actually Paid during the periods presented are influenced by (i) changes in the fair value of equity awards in accordance with ASC 718 and Item 402(v) of Regulation S K, (ii) the timing of equity grants, including additional option awards granted during fiscal year 2025, and (iii) the Company’s operating performance, including net losses incurred in both years presented.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statement made by our Audit Committee does not constitute soliciting material and should not be deemed filed or incorporated by reference into any filing under the Securities Act of 1933, as amended, or the Securities Exchange Act of 1934, as amended, except to the extent that we specifically incorporate such statement by reference.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has determined that each Audit Committee member has the requisite independence and other qualifications for audit committee membership under SEC rules, the listing standards of Nasdaq, our Audit Committee Charter, and the independence standards set forth in our Corporate Governance Guidelines. The Board has also determined that Shanti Priya qualifies as an “audit committee financial expert” as defined under Item 407(d)(5) of Regulation S-K under the Securities Exchange Act of 1934, as amended.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more fully described below, in carrying out its responsibilities, the Audit Committee looks to management and CXApp’s independent registered public accounting firm. The Audit Committee members are not professionally engaged in the practice of accounting or auditing. The Audit Committee operates under a written charter that is reviewed annually and is available at ir.cxapp.com.</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primary function is to assist the Board in fulfilling its oversight responsibilities by reviewing CXApp’s financial reporting, audit processes, internal control over financial reporting and disclosure controls. Management is responsible for the Company’s consolidated financial statements and the financial reporting process, including internal control over financial reporting. We also monitor the preparation by management of the Company’s quarterly and annual consolidated financial statements. WithumSmith+Brown, PC (“Withum”), CXApp’s independent registered public accounting firm, is accountable to us and is responsible for expressing an opinion as to whether the consolidated financial statements present fairly, in all material respects, the financial position, results of operations and cash flows of CXApp in conformity with U.S. generally accepted accounting principles. We are solely responsible for selecting and reviewing the performance of CXApp’s independent registered public accounting firm and, if we deem appropriate in our sole discretion (subject, if applicable, to shareholder ratification), terminating and replacing the independent registered public accounting firm. We also are responsible for reviewing and approving the terms of the annual engagement of CXApp’s independent registered public accounting firm, including the scope of audit and non-audit services to be provided by the independent registered public accounting firm and the fees to be paid for such services, and discussing with the independent registered public accounting firm any relationships or services that may impact the objectivity and independence of the independent registered public accounting firm.</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fulfilling our oversight role, we met and held discussions, both together and separately, with the Company’s management and Withum. Management advised us that the Company’s consolidated financial statements were prepared in accordance with U.S. generally accepted accounting principles, and we reviewed and discussed the audited and unaudited (as applicable) consolidated financial statements and key accounting and reporting issues with management and Withum, both together and separately, in advance of the public release of operating results and filing of annual or quarterly reports with the SEC. We discussed significant matters with Withum, including those matters required to be discussed by the applicable requirements of the Public Company Accounting Oversight Board (“PCAOB”) and the rules of the SEC, and reviewed a letter from Withum disclosing such matters.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Withum also provided us with the written disclosures and the letter required by applicable requirements of the PCAOB regarding the independent registered public accounting firm’s communications with the Audit Committee concerning independence, and we discussed with Withum matters relating to their independence and considered whether their provision of certain non-audit services is compatible with maintaining their independence. In the written communications, Withum confirmed its independence, and we determined that Withum’s provision of non-audit services to CXApp is compatible with maintaining their independence. We also reviewed a report by Withum describing the firm’s internal quality control procedures and any material issues raised in the most recent internal quality control review or external peer review or inspection performed by the PCAOB.</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our review with management and Withum of CXApp’s audited consolidated financial statements and Withum’s report on such consolidated financial statements, and based on the discussions and written disclosures described above and our business judgment, we recommended to the Board that the audited consolidated financial statements be included in the Form 10-K for filing with the SEC.</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Shanti Priya, Chair</w:t>
      </w:r>
    </w:p>
    <w:p>
      <w:pPr>
        <w:spacing w:after="0" w:line="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Camillo Martino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Di-Ann Eisnor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has nominated Khurram Sheikh to stand for election for a term expiring at the 2029 Annual Meeting of Stockholders or until his successor is duly elected and qualified, or until his earlier death, disqualification, resignation or removal. Khurram Sheikh is willing and able to serve as a director of CXApp. See “</w:t>
      </w:r>
      <w:r>
        <w:rPr>
          <w:rFonts w:ascii="Times New Roman" w:cs="Times New Roman" w:eastAsia="Times New Roman" w:hAnsi="Times New Roman"/>
          <w:sz w:val="18"/>
          <w:szCs w:val="18"/>
          <w:i w:val="1"/>
          <w:iCs w:val="1"/>
          <w:color w:val="auto"/>
        </w:rPr>
        <w:t>Board of Directors and Corporate Governance-Directors</w:t>
      </w:r>
      <w:r>
        <w:rPr>
          <w:rFonts w:ascii="Times New Roman" w:cs="Times New Roman" w:eastAsia="Times New Roman" w:hAnsi="Times New Roman"/>
          <w:sz w:val="18"/>
          <w:szCs w:val="18"/>
          <w:color w:val="auto"/>
        </w:rPr>
        <w:t>” for information regarding Khurram Sheikh. Proxies cannot be voted for a greater number of persons than the number of nominees named in this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be elected, Khurram Sheikh must receive a plurality of the votes cast. Broker non-votes (shares held by brokers that do not have discretionary authority to vote on a proposal and have not received voting instructions from their clients) and abstentions will not count as votes cast and will have no impact on whether such proposal is approved.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recommends that you vote “FOR” the election of Khurram Sheikh.</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ELECTION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has nominated George Mathai to stand for election for a term expiring at the 2029 Annual Meeting of Stockholders or until his successor is duly elected and qualified, or until his earlier death, disqualification, resignation or removal. George Mathai is willing and able to serve as a director of CXApp. See “</w:t>
      </w:r>
      <w:r>
        <w:rPr>
          <w:rFonts w:ascii="Times New Roman" w:cs="Times New Roman" w:eastAsia="Times New Roman" w:hAnsi="Times New Roman"/>
          <w:sz w:val="18"/>
          <w:szCs w:val="18"/>
          <w:i w:val="1"/>
          <w:iCs w:val="1"/>
          <w:color w:val="auto"/>
        </w:rPr>
        <w:t>Board of Directors and Corporate Governance-Directors</w:t>
      </w:r>
      <w:r>
        <w:rPr>
          <w:rFonts w:ascii="Times New Roman" w:cs="Times New Roman" w:eastAsia="Times New Roman" w:hAnsi="Times New Roman"/>
          <w:sz w:val="18"/>
          <w:szCs w:val="18"/>
          <w:color w:val="auto"/>
        </w:rPr>
        <w:t>” for information regarding George Mathai. Proxies cannot be voted for a greater number of persons than the number of nominees named in this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be elected, George Mathai must receive a plurality of the votes cast. Broker non-votes (shares held by brokers that do not have discretionary authority to vote on a proposal and have not received voting instructions from their clients) and abstentions will not count as votes cast and will have no impact on whether such proposal is approved.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recommends that you vote “FOR” the election of George Mathai.</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ind w:left="2160"/>
        <w:spacing w:after="0"/>
        <w:rPr>
          <w:sz w:val="20"/>
          <w:szCs w:val="20"/>
          <w:color w:val="auto"/>
        </w:rPr>
      </w:pPr>
      <w:r>
        <w:rPr>
          <w:rFonts w:ascii="Times New Roman" w:cs="Times New Roman" w:eastAsia="Times New Roman" w:hAnsi="Times New Roman"/>
          <w:sz w:val="18"/>
          <w:szCs w:val="18"/>
          <w:b w:val="1"/>
          <w:bCs w:val="1"/>
          <w:color w:val="auto"/>
        </w:rPr>
        <w:t>PROPOSAL 3: APPROVAL OF ISSUANCE OF SHARES UNDER NASDAQ 20% RULE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Reasons for the Proposal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Nasdaq Listing Rule 5635(d) (the “Nasdaq 20% Rule”), a Nasdaq-listed company must obtain stockholder approval prior to issuing (or potentially issuing) shares of common stock (or securities convertible into or exercisable for common stock) in a private placement if the issuance equals 20% or more of the company’s outstanding common stock (or 20% or more of the voting power), at a per-share price below the “Minimum Price” (as defined by Nasdaq) at the time of issuance.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believes it may be in the Company’s best interest to raise additional equity capital through one or more private placements, including a $40 million prepaid equity advance (the “Prepaid Equity Advance” or “Advance”) with Avondale, pursuant to a Securities Purchase Agreement dated March 27, 2026 (the “Avondale Purchase Agreement”). In some of these financings, the total shares issuable could exceed 20% of our currently outstanding common stock, or the effective offering price could be deemed below Nasdaq’s Minimum Price. To preserve the flexibility to pursue such financings expeditiously, our Board has approved, subject to stockholder approval, the potential issuance of shares in compliance with the Nasdaq 20% Rule.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Prepaid Equity Advance Under the Avondale Purchase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27, 2026, we entered into the Avondale Purchase Agreement with Avondale, under which the Company may: (i) issue and sell one or more Pre-Paid Purchases, in the form substantially similar to the exhibit attached thereto, up to an aggregate purchase amount of $40,000,000 (the “Commitment Amount”), covering shares of our common stock, par value $0.0001 per share (the “Common Stock”); and (ii) issue and sell an initial Pre-Paid Purchase in the principal amount of $1,050,000 (the “Initial Pre-Paid Purchase”).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Avondale Purchase Agreement, each Pre-Paid Purchase has a principal balance upon which Avondale may, at its option, require the Company to deliver shares of Common Stock (“Purchase Shares”) in full or partial satisfaction of that balance. The Company will deliver Purchase Shares at the per-share price specified in the relevant Pre-Paid Purchase (the “Purchase Share Purchase Price”), subject to a defined floor price and satisfaction of conditions. Each Pre-Paid Purchase is treated as a separate instrument, with a distinct outstanding balance and holding period.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Initial Pre-Paid Purchase includes: (i) a principal amount of $1,050,000; (ii) an original issue discount of $50,000 (the “OID”); and (iii) a $10,000 “Transaction Expense Amount” to cover Avondale’s legal, administrative, and due diligence costs. Accordingly, the net amount funded at closing was $1,000,000. Under the Initial Pre-Paid Purchase, if Avondale elects to receive Purchase Shares, the Purchase Share Purchase Price is the lower of: (i) $0.2614, or (ii) 91% of the lowest daily volume-weighted average price (“VWAP”) for the ten consecutive trading days immediately preceding the relevant purchase notice date, subject in all cases to a floor price equal to 20% of the Nasdaq-defined Minimum Price (measured on the trading day immediately prior to the applicable closing date) (the “Floor Price”).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long as conditions in the Avondale Purchase Agreement are met—including minimum trading volume thresholds and obtaining stockholder approval under Nasdaq 20% Rule—we may request additional Pre-Paid Purchases. Each subsequent Pre-Paid Purchase would: (i) bear an original issue discount of 5% of the requested amount; (ii) include no additional Transaction Expense Amount beyond the initial $10,000; (iii) be subject to a floor price equal to 20% of the applicable Minimum Price; and (iv) have a fixed price capped at 120% of the Minimum Price on the trading day immediately prior to the date of Pre-Paid Purchase. We are not obligated to seek or utilize additional Pre-Paid Purchases beyond the initial closing, and we retain full discretion to do so or forego them.</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and until we obtain stockholder approval under the Nasdaq 20% Rule, the total number of shares of Common Stock issuable to Avondale under all Pre-Paid Purchases may not exceed the threshold set by that rule (the “Exchange Cap”). Should we not secure that approval at our upcoming annual meeting (or any adjournment/postponement thereof), we will continue seeking such approval every 90 days until it is obtained, and any remaining outstanding balance above the Exchange Cap under any Pre-Paid Purchase will be settled in cash. Further, Avondale’s beneficial ownership of our Common Stock is capped at 9.99% of shares then outstanding.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the Avondale Purchase Agreement has been executed, stockholder approval of this Proposal will enable the Board to issue shares in excess of the Exchange Cap under the Nasdaq 20% Rule without requiring additional stockholder action, should the Company decide to proceed with any further draws or a similar financing.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Effect on Current Stockholders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this Proposal 3 is approved, stockholders may experience dilution in the ownership and/or voting power of their existing shares to the extent we issue securities beyond the 20% threshold under one or more private placements (including any Prepaid Equity Advance with Avondale). Future issuances could also reduce earnings per share, and any impact on our stock price may further affect existing stockholders’ interests. The actual amount of dilution will depend on many factors, including the size, terms and timing of any private placement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if Proposal 3 is Not Approved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our stockholders do not approve Proposal 3, we may be unable to raise sufficient equity capital in a timely or cost-effective manner if such financing would otherwise exceed the 20% threshold or fall below the Minimum Price, as defined by Nasdaq. This limitation could restrict our ability to:</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full financing from the potential Prepaid Equity Advance, Prepaid Purchase or future similar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our operations, satisfy strategic obligations or pursue potential acquisitions or growth opportunities.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forced to rely on alternative, potentially less attractive funding structures or reduce the scale and timing of our growth initiatives.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Approval of Proposal 3 requires the affirmative vote of the holders of a majority of the total number of shares of common stock present at the meeting in person (including virtually or by proxy) or represented by proxy and entitled to vote thereon, voting as a single class. Abstentions will be counted as votes “AGAINST,” and broker non-votes will have no effect on the outcome of the vote.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recommends a vote “FOR” the approval, under Nasdaq Listing Rule 5635(d), of the issuance of shares (or securities convertible or exercisable for such shares) in one or more private placements in excess of 20% of our outstanding common stock, including potential issuances under the Avondale Purchase Agreement.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PROPOSAL 4: APPROVAL OF THE REVERSE STOCK SPLIT AND CHARTER AMENDMENT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the Company approved, and directed that there be submitted to the stockholders of the Company for approval, the following a proposal to authorize the Board of Directors, at its discretion, to approve (i) the Reverse Stock Split of the Company’s shares of common stock with a ratio in the range between and including 1-for-5 shares and 1-for-100 shares (the “Reverse Stock Split”), with such ratio to be determined by the Board (the “Ratio”), for the primary purpose of maintaining the Company’s listing on the Nasdaq Stock Market LLC (“Nasdaq”), and (ii) the amendment of the Company’s certificate of incorporation (the “Charter Amendment”) to reflect the Reverse Stock Split.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Reverse Stock Split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Nasdaq Stock Market LLC requires that the closing bid price of the Company’s common stock for the last 30 consecutive business days maintain a minimum bid price of $1 per share, as set forth in Nasdaq Listing Rule 5550(a)(2) (the “Bid Price Rule”). The primary purpose of the Reverse Stock Split is to increase the per share price of our common stock in order to maintain the listing of our common stock on Nasdaq. Our Board believes that, in addition to increasing the price of our common stock, the Reverse Stock Split would make our common stock more attractive to a broader range of institutional and other investors. Accordingly, for these and other reasons discussed below, we believe that effecting the Reverse Stock Split is in the Company’s and our stockholders’ best interests. We believe proposing multiple ratios for the Reverse Stock Split, rather than proposing that stockholders approve a specific ratio at this time, provides the Board with the most flexibility to achieve the desired results of the Reverse Stock Split. At this time, the Board is seeking approval from the stockholders to authorize a Ratio in a range between, and including, 1-for-5 shares and 1-for-100 shares for all outstanding shares with all fractional shares rounded up to the next whole share.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further action on the part of the stockholders will be required to implement the Reverse Stock Split, or to select the specific ratio for the Reverse Stock Split. If the Reverse Stock Split and Charter Amendment proposal is approved, the Board would make the determination as to the final ratio of the Reverse Stock Split which will be reflected in an amendment to the Company’s certificate of incorporation (the “Charter Amendment”). The description of the Charter Amendment set forth herein is a summary only and is qualified in its entirety by and subject to the full text of the form of proposed amendment which is attached as Annex B hereto.</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Failure to approve the Reverse Stock Split may potentially have serious, adverse effects on us and our stockholders. Our common stock could be delisted from Nasdaq if our common stock continues to trade below the requisite $1.00 per share price needed to maintain our listing in accordance with the Bid Price Rule. If our common stock is delisted from Nasdaq, our common stock could then trade on the OTC Bulletin Board or other small trading markets, such as the pink sheets, which are generally considered to be less efficient markets. In that event, our common stock could trade thinly as a microcap or penny stock, adversely decrease to nominal levels of trading, and may be avoided by retail and institutional investors, resulting in the impaired liquidity and increased transaction costs of trading in shares of our common stock.</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the Reverse Stock Split, the Board will retain the authority to issue any authorized, unissued shares on terms it deems appropriate.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Company currently has no plans to issue additional shares to offset the reduction in outstanding shares resulting from the Reverse Stock Split.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future issuance of such shares will be solely to support our ongoing capital structure and ensure compliance with Nasdaq requirements.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the Board believes that the Company’s common stock would trade at higher prices after the consummation of the Reverse Stock Split, there can be no assurance that the increase in the trading price will occur, or, if it does occur, that it will equal or exceed 5 to 100 times the market price of the common stock prior to the Reverse Stock Split. In some cases, the total market value of a company following a Reverse Stock Split is lower, and may be substantially lower, than the total market value before the Reverse Stock Split. In addition, the fewer number of shares that will be available to trade could possibly cause the trading market of the common stock to become less liquid, which could have an adverse effect on the price of the common stock. The market price of the common stock is based on our performance and other factors, some of which may be unrelated to the number of our shares outstanding. In addition, there can be no assurance that the Reverse Stock Split will result in a per share price that will attract brokers and investors who do not trade in lower priced stock.</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strongly believes that the Reverse Stock Split is necessary to maintain our listing on Nasdaq. Accordingly, the Board has proposed the Charter Amendment for approval by our stockholders at the Annual Meeting to permit the Board to effect the Reverse Stock Split if the Board determines it is advisable to maintain compliance with Nasdaq rules.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Reverse Stock Split would have the following effects based upon 69,015,433 shares of common stock issued and outstanding as of the record date. In the following discussion, we provide examples of the effects of the Reverse Stock Split at the lower-end of the range of the Ratio and at the higher-end of the range of the Ratio.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Reverse Stock Split is approved at the low end of the range:</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1-for-5 Ratio, every five shares of our common stock issued and outstanding immediately prior to the Reverse Stock Split effective date (the “Old Shares”) owned by a stockholder will automatically and without any action on the part of the stockholders be converted into one (1) share of common stock (the “New Shares”); and</w:t>
      </w:r>
    </w:p>
    <w:p>
      <w:pPr>
        <w:spacing w:after="0" w:line="175" w:lineRule="exact"/>
        <w:rPr>
          <w:rFonts w:ascii="Times New Roman" w:cs="Times New Roman" w:eastAsia="Times New Roman" w:hAnsi="Times New Roman"/>
          <w:sz w:val="18"/>
          <w:szCs w:val="18"/>
          <w:color w:val="auto"/>
        </w:rPr>
      </w:pPr>
    </w:p>
    <w:p>
      <w:pPr>
        <w:ind w:left="660" w:right="440" w:hanging="328"/>
        <w:spacing w:after="0" w:line="50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our common stock issued and outstanding will be reduced from 69,015,433 shares to approximately 13,803,087 shares. If the Reverse Stock Split is approved at the high end of the Reverse Stock Split range: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1-for-100 Ratio, every ten of our Old Shares owned by a stockholder would be exchanged for one (1) New Share;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issued and outstanding will be reduced from 69,015,433 shares to approximately 690,154 shares.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Reverse Stock Split will be effected simultaneously for all of our outstanding shares of common stock and the exchange ratio will be the same for all of our outstanding shares of common stock. The Reverse Stock Split will affect all of our stockholders uniformly and will not affect any stockholder’s percentage ownership interests in the Company, except to the extent that the Reverse Stock Split results in any of our stockholders owning a fractional share. As described below, stockholders and holders of options and warrants holding fractional shares will have their shares rounded up to the nearest whole number. Shares of common stock issued pursuant to the Reverse Stock Split will remain fully paid and non-assessable.</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Fractional Shares</w:t>
      </w:r>
      <w:r>
        <w:rPr>
          <w:rFonts w:ascii="Times New Roman" w:cs="Times New Roman" w:eastAsia="Times New Roman" w:hAnsi="Times New Roman"/>
          <w:sz w:val="18"/>
          <w:szCs w:val="18"/>
          <w:color w:val="auto"/>
        </w:rPr>
        <w:t>. No fractional share certificates will be issued in connection with the Reverse Stock Split. Stockholders who otherwise would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entitled to receive fractional shares because they hold a number of Old Shares not evenly divisible by the 1-for-5 or 1-for-100 Ratio, will be entitled, upon surrender of certificate(s) representing these shares, to a number of New Shares rounded up to the nearest whole number. The ownership of a fractional interest will not give the stockholder any voting, dividend or other rights except to have his or her fractional interest rounded up to the nearest whole number when the New Shares are issued.</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Options and Warrants</w:t>
      </w:r>
      <w:r>
        <w:rPr>
          <w:rFonts w:ascii="Times New Roman" w:cs="Times New Roman" w:eastAsia="Times New Roman" w:hAnsi="Times New Roman"/>
          <w:sz w:val="18"/>
          <w:szCs w:val="18"/>
          <w:color w:val="auto"/>
        </w:rPr>
        <w:t>. All outstanding options, warrants, notes, debentures and other securities convertible into shares of the Company’s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will be adjusted as a result of the Reverse Stock Split, as required by the terms of these securities. In particular, the conversion ratio for each instrument will be reduced, and the conversion price or exercise price, if applicable, will be increased, in accordance with the terms of each instrument and based on the Ratio in the range between, and including, 1-for-5 shares and 1-for-100 shares, with the final ratio to be determined by the Company’s Board.</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Certain Risks Associated with a Reverse Stock Split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Reducing the number of outstanding shares of the Company’s common stock through the Charter Amendment is intended, absent other factors, to increase the per share market price of the common stock. Other factors, however, such as the Company’s financial results, market conditions, the market perception of the Company’s business and other risks, including those set forth below and in the Company’s SEC filings and reports, including its Annual Report on Form 10-K for the year ended December 31, 2025, may adversely affect the market price of the common stock. As a result, there can be no assurance that the Reverse Stock Split, if completed, will result in the intended benefits described above, that the market price of the common stock will increase following the Reverse Stock Split or that the market price of the common stock will not decrease in the future.</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Reverse Stock Split May Not Result in a Sustained Increase in the Price of the Common Stock</w:t>
      </w:r>
      <w:r>
        <w:rPr>
          <w:rFonts w:ascii="Times New Roman" w:cs="Times New Roman" w:eastAsia="Times New Roman" w:hAnsi="Times New Roman"/>
          <w:sz w:val="18"/>
          <w:szCs w:val="18"/>
          <w:color w:val="auto"/>
        </w:rPr>
        <w:t>. The effect of the Reverse Stock Split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market price of the common stock cannot be predicted with any certainty and the Company cannot assure you that the Reverse Stock Split will result in a sustained increase in the price of the common stock for any meaningful period of time, or at all. The Board believes that the Reverse Stock Split has the potential to increase the market price of the common stock, and therefore may help to satisfy the Bid Price Rule. However, the long- and short-term effect of the Reverse Stock Split upon the market price of the common stock cannot be predicted with any certainty.</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Reverse Stock Split May Decrease the Liquidity of the Common Stock</w:t>
      </w:r>
      <w:r>
        <w:rPr>
          <w:rFonts w:ascii="Times New Roman" w:cs="Times New Roman" w:eastAsia="Times New Roman" w:hAnsi="Times New Roman"/>
          <w:sz w:val="18"/>
          <w:szCs w:val="18"/>
          <w:color w:val="auto"/>
        </w:rPr>
        <w:t>. The Board believes that the Reverse Stock Split may result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in the market price of the common stock, which could lead to increased interest in the common stock and possibly promote greater liquidity for the Company’s stockholders. However, the Reverse Stock Split will also reduce the total number of shares of outstanding common stock, which may lead to reduced trading and a smaller number of market makers for the common stock. There can also be no assurance the Reverse Stock Split will enhance the Company’s ability to engage in capital raising activities.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Reverse Stock Split May Result in Some Stockholders Owning “Odd Lots” That May Be More Difficult to Sell or Require Greater Transaction Costs per Share to Sell</w:t>
      </w:r>
      <w:r>
        <w:rPr>
          <w:rFonts w:ascii="Times New Roman" w:cs="Times New Roman" w:eastAsia="Times New Roman" w:hAnsi="Times New Roman"/>
          <w:sz w:val="18"/>
          <w:szCs w:val="18"/>
          <w:color w:val="auto"/>
        </w:rPr>
        <w:t>. If the Reverse Stock Split is implemented, it will increase the number of stockholders who own “odd lots” of less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 shares of common stock. A purchase or sale of less than 100 shares of common stock (an “odd lot” transaction) may result in incrementally higher trading costs through certain brokers, particularly “full service” brokers. Therefore, those stockholders who own less than 100 shares of common stock following the Reverse Stock Split may be required to pay higher transaction costs if they sell their shares of common stock.</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Reverse Stock Split May Lead to a Decrease in the Overall Market Capitalization of the Company</w:t>
      </w:r>
      <w:r>
        <w:rPr>
          <w:rFonts w:ascii="Times New Roman" w:cs="Times New Roman" w:eastAsia="Times New Roman" w:hAnsi="Times New Roman"/>
          <w:sz w:val="18"/>
          <w:szCs w:val="18"/>
          <w:color w:val="auto"/>
        </w:rPr>
        <w:t>. The Reverse Stock Split may be viewed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negatively by the market and, consequently, could lead to a decrease in the overall market capitalization of the Company. If the per share market price of the common stock does not increase in proportion to the Ratio, then the value of the Company, as measured by the market capitalization of the Company, will be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 Reverse Stock Split If Implemented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Reverse Stock Split would affect all holders of common stock uniformly and would not affect any stockholder’s percentage ownership interests or proportionate voting power. The other principal effects of the Charter Amendment will be that:</w:t>
      </w:r>
    </w:p>
    <w:p>
      <w:pPr>
        <w:spacing w:after="0" w:line="162" w:lineRule="exact"/>
        <w:rPr>
          <w:sz w:val="20"/>
          <w:szCs w:val="20"/>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issued and outstanding shares of common stock (and treasury shares, if any), will be reduced proportionately based on the final Ratio, as determined by the Board;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final Ratio, the per share exercise price of all outstanding options and warrants will be increased proportionately and the number of shares of common stock issuable upon the exercise of all outstanding options and warrants will be reduced proportionately;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reserved for issuance pursuant to any outstanding equity awards and any maximum number of shares with respect to which equity awards may be granted will be reduced proportionately based on the final Ratio.</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the Reverse Stock Split, the Board will have the authority, subject to applicable securities laws, to issue all authorized and unissued shares without further stockholder approval, upon such terms and conditions as the Board deems appropriate. Although we consider financing opportunities from time to time, we do not currently have any plans, proposals or understandings to issue the additional shares that would be available if the Reverse Stock Split is approved and effected, but some of the additional shares underlie warrants, which could be exercised or converted after the Reverse Stock Split is effected.</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Accounting Matters</w:t>
      </w:r>
      <w:r>
        <w:rPr>
          <w:rFonts w:ascii="Times New Roman" w:cs="Times New Roman" w:eastAsia="Times New Roman" w:hAnsi="Times New Roman"/>
          <w:sz w:val="18"/>
          <w:szCs w:val="18"/>
          <w:color w:val="auto"/>
        </w:rPr>
        <w:t>. The Reverse Stock Split will not affect the par value of our common stock. As a result, on the effective date of the Reverse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Split, the stated capital on our balance sheet attributable to our common stock will be reduced in proportion to the Reverse Stock Split ratio (that is, in a 1-for-5 Reverse Stock Split, the stated capital attributable to our common stock will be reduced to one-fifth of its existing amount and in a 1-for-100 Reverse Stock Split, the stated capital attributable to our common stock will be reduced to one-hundredth of its existing amount) and the additional paid-in capital account shall be credited with the amount by which the stated capital is reduced. The per share net income or loss and net book value of our common stock will also be increased because there will be fewer shares of our common stock outstanding.</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Potential Anti-Takeover Effect</w:t>
      </w:r>
      <w:r>
        <w:rPr>
          <w:rFonts w:ascii="Times New Roman" w:cs="Times New Roman" w:eastAsia="Times New Roman" w:hAnsi="Times New Roman"/>
          <w:sz w:val="18"/>
          <w:szCs w:val="18"/>
          <w:color w:val="auto"/>
        </w:rPr>
        <w:t>. Although the increased proportion of unissued authorized shares to issued shares could, under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circumstances, have an anti-takeover effect (for example, by permitting issuances that would dilute the stock ownership of a person seeking to effect a change in the composition of our Board or contemplating a tender offer or other transaction for the combination of the Company with another company), the Reverse Stock Split was not proposed in response to any effort of which we are aware to accumulate shares of our common stock or obtain control of us, nor is it part of a plan by management to recommend a series of similar actions having an anti-takeover effect to our Board and stockholders. Other than the Reverse Stock Split, our Board does not currently contemplate recommending the adoption of any other corporate action that could be construed to affect the ability of third parties to take over or change control of the Company.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the periodic reporting and other requirements of the Exchange Act. If the proposed Reverse Stock Split is implemented, our common stock will continue to be reported on Nasdaq under the symbol “CXAI.” We will continue to be subject to the periodic reporting requirements of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Effecting a Reverse Stock Split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Reverse Stock Split will be accomplished by our Board of Directors passing a resolution to effect the Reverse Stock Split (the “Board Resolution”). The Reverse Stock Split will become effective at such future date and exact ratio as to be determined by the Board, and an amendment will be made to the Company’s certificate of incorporation and filed with the Secretary of State of the State of Delaware (which we refer to as the “Effective Time”) following passing of the Board Resolution. As soon as practicable after the Effective Time, stockholders will be notified that the Reverse Stock Split has been effected.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SHOULD NOT DESTROY ANY STOCK CERTIFICATE(S)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SHOULD NOT SUBMIT ANY CERTIFICATE(S) UNTIL REQUESTED TO DO SO.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Reverse Stock Split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following is a summary of certain material U.S. federal income tax consequences of a Reverse Stock Split to our stockholders. The summary is based on the Internal Revenue Code of 1986, as amended (the “Code”), applicable Treasury Regulations promulgated thereunder, judicial authority and current administrative rulings and practices as in effect on the date of this Proxy Statement. Changes to the laws could alter the tax consequences described below, possibly with retroactive effect. We have not sought and will not seek an opinion of counsel or a ruling from the Internal Revenue Service regarding the federal income tax consequences of a Reverse Stock Split. This discussion only addresses stockholders who hold common stock as capital assets. It does not purport to be complete and does not address stockholders subject to special tax treatment under the Code, including, without limitation, financial institutions, tax-exempt organizations, insurance companies, dealers in securities, foreign stockholders, stockholders who hold their pre-reverse stock split shares as part of a straddle, hedge or conversion transaction and stockholders who acquired their pre-reverse stock split shares pursuant to the exercise of employee stock options or otherwise as compensation. If a partnership (or other entity treated as a partnership for U.S. federal income tax purposes) is the beneficial owner of our common stock, the U.S. federal income tax treatment of a partner in the partnership will generally depend on the status of the partner and the activities of the partnership. Accordingly, partnerships (and other entities treated as partnerships for U.S. federal income tax purpose) holding our common stock and the partners in such entities should consult their own tax advisors regarding the U.S. federal income tax consequences of the proposed Reverse Stock Split. In addition, the following discussion does not address the tax consequences of the Reverse Stock Split under state, local and foreign tax laws. Furthermore, the following discussion does not address any tax consequences of transactions effectuated before, after or at the same time as the Reverse Stock Split, whether or not they are in connection with the Reverse Stock Split.</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general, the federal income tax consequences of a Reverse Stock Split will vary among stockholders depending upon whether they receive solely a reduced number of shares of common stock in exchange for their old shares of common stock or a full share in lieu of a fractional share. We believe that because the Reverse Stock Split is not part of a plan to periodically increase a stockholder’s proportionate interest in our assets or earnings and profits, the Reverse Stock Split should have the following federal income tax effects. The Reverse Stock Split is expected to constitute a “recapitalization” for U.S. federal income tax purposes pursuant to Section 368(a)(1)(E) of the Code. A stockholder who receives solely a reduced number of shares of common stock will not recognize gain or loss. In the aggregate, such a stockholder’s basis in the reduced number of shares of common stock will equal the stockholder’s basis in its old shares of common stock and such stockholder’s holding period in the reduced number of shares will include the holding period in its old shares exchanged. The Treasury Regulations provide detailed rules for allocating the tax basis and holding period of shares of common stock surrendered in a recapitalization to shares received in the recapitalization. Stockholders of our common stock acquired on different dates and at different prices should consult their tax advisors regarding the allocation of the tax basis and holding period of such shares.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stockholder who holds a number of shares of common stock not evenly divisible by the Ratio will automatically be entitled to receive an additional fraction of a share of common stock to round up to the next whole share of common stock. The U.S. federal income tax consequences of the receipt of such an additional fraction of a share are not clear. A stockholder that receives a full share in lieu of a fractional share may be treated as though it received a distribution from us to the extent that the value of the full share exceeds the value of the fractional share the stockholder otherwise would have received. Such distribution would generally be a dividend to the extent of our current or accumulated earnings and profits. Any amount in excess of earnings and profits would generally reduce the stockholder’s basis in their shares of common stock by the amount of such excess. The portion of the full share in excess of the fractional share would generally have a tax basis equal to the amount recognized as a dividend and the holding period for such share would begin on the date of the deemed distribution. Stockholders are urged to consult their own tax advisors as to the possible tax consequences of receiving an additional fraction of a share in the Reverse Stock Split.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PRECEDING DISCUSSION IS INTENDED ONLY AS A SUMMARY OF CERTAIN FEDERAL U.S. INCOME TAX CONSEQUENCES OF THE REVERSE STOCK SPLIT AND DOES NOT PURPORT TO BE A COMPLETE ANALYSIS OR DISCUSSION OF ALL POTENTIAL TAX EFFECTS RELEVANT THERETO. YOU SHOULD CONSULT YOUR OWN TAX ADVISORS AS TO THE PARTICULAR FEDERAL, STATE, LOCAL, FOREIGN AND OTHER TAX CONSEQUENCES OF THE REVERSE STOCK SPLIT IN LIGHT OF YOUR SPECIFIC CIRCUMSTANCES.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stockholders are not entitled to dissenters’ or appraisal rights under the Delaware General Corporation Law with respect to this Proposal 4, and we will not independently provide our stockholders with any such right if the Reverse Stock Split is implemented.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Board’s Recommendation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Approval of the Reverse Stock Split and the Charter Amendment requires the affirmative vote of a majority of the shares entitled to vote on this proposal, present in person (including via live webcast) or represented by proxy at a meeting at which a quorum is present. You may vote “FOR,” “AGAINST,” or “ABSTAIN” on this proposal. Abstentions will have the effect of a vote against this proposal. Brokerage firms do not have authority to vote customers’ unvoted shares held by the firms in street name on this proposal. As a result, any shares not voted by a customer will be treated as a broker non-vote. Such broker non-votes will have the effect of a vote against this proposal.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A VOTE “FOR” THE APPROVAL OF THE REVERSE STOCK SPLIT AND THE CHARTER AMENDMENT.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PROPOSAL 5: NON-BINDING ADVISORY VOTE TO APPROVE EXECUTIVE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Schedule 14A of the Exchange Act, we are asking our stockholders to vote to approve, on a non-binding advisory basis, the compensation of our “named executive officers” as disclosed in accordance with the SEC’s rules in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of this proxy statement. This proposal, commonly known as a “say-on-pay” proposal, is not intended to address any specific item of compensation or any specific named executive officer, but rather the overall compensation of all of our named executive officers and the philosophy, policies and practices described in this proxy statement, as a whole.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the Company, the Compensation Committee or the Board. The say-on-pay vote will, however, provide information to us regarding investor sentiment about our executive compensation philosophy, policies and practices, which the Compensation Committee will be able to consider when determining executive compensation for the remainder of the current fiscal year and beyond. The Board and the Compensation Committee value the opinions of our stockholders and, to the extent there is any significant vote against our named executive officer compensation as disclosed in this proxy statement, we will consider our stockholders’ concerns and the Compensation Committee will evaluate whether any additional actions are necessary.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Executive Compensation Program</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Our Board believes that the detailed information provided above and within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of this proxy statement demonstrates that our executive compensation program was designed appropriately and is working to ensure management’s interests are aligned with our stockholders’ interests to support long-term value creation.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Resolution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we ask our stockholders to vote “FOR” the following resolution at the Annual Meeting: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“RESOLVED, that the Company’s stockholders approve, on a non-binding advisory basis, the compensation of the named executive officers, as disclosed in the Company’s Proxy Statement for the 2026 Annual Meeting of Stockholders pursuant to the compensation disclosure rules of the Securities and Exchange Commission, including the compensation tables and the narrative disclosure.”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approval, on a non-binding advisory basis, of the compensation of our named executive officers requires an affirmative vote of a majority of the voting power of the shares present in person (including virtually or by proxy) or represented by proxy at the Annual Meeting and entitled to vote thereon to be approved. You may vote FOR or AGAINST this proposal, or you may indicate that you wish to ABSTAIN from voting on this proposal. Abstentions will be counted for purposes of determining the presence or absence of a quorum and will also count as votes against this proposal, i.e., will have the same effect as a vote AGAINST this proposal. Broker non-votes will have no effect on the outcome of this proposal. Because this vote is advisory only, it will not be binding on us, our Compensation Committee or our Board. However, we value our stockholders’ input and will take the vote into consideration when evaluating executive compensation decisions.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recommends that you vote “FOR” the approval of the named executive officer compensation pursuant to a non-binding advisory vote.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jc w:val="center"/>
        <w:ind w:left="340" w:right="200"/>
        <w:spacing w:after="0" w:line="286" w:lineRule="auto"/>
        <w:rPr>
          <w:sz w:val="20"/>
          <w:szCs w:val="20"/>
          <w:color w:val="auto"/>
        </w:rPr>
      </w:pPr>
      <w:r>
        <w:rPr>
          <w:rFonts w:ascii="Times New Roman" w:cs="Times New Roman" w:eastAsia="Times New Roman" w:hAnsi="Times New Roman"/>
          <w:sz w:val="18"/>
          <w:szCs w:val="18"/>
          <w:b w:val="1"/>
          <w:bCs w:val="1"/>
          <w:color w:val="auto"/>
        </w:rPr>
        <w:t>PROPOSAL 6: NON-BINDING ADVISORY VOTE ON THE FREQUENCY OF FUTURE ADVISORY VOTES ON NAMED EXECUTIVE OFFICER COMPENSATION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the Company no longer qualifies as an emerging growth company, Section 14A of the Exchange Act enables our stockholders to vote on an advisory basis every six years on how frequently we should hold a “say on pay” advisory vote on executive compensation, as disclosed pursuant to the SEC’s compensation disclosure rules.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Stockholders may indicate whether they would prefer an advisory say on pay vote to occur every one year, every two years, every three years, or they may abstain from voting on the say on pay frequency matter. We are holding the say on pay frequency vote for the first time this year and expect to hold it again in 2032.</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vote on this matter is of an advisory nature only and will not be binding on us, our Compensation Committee or our Board. However, we value our stockholders’ input and will take the vote into consideration when determining how frequently the advisory vote on executive compensation occurs in the future. Notwithstanding the Board’s recommendation and the outcome of the stockholder vote, the Board may in the future decide to conduct advisory votes on alternative bases and may vary its practice based on factors such as discussions with stockholders and the adoption of material changes to our executive compensation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Shareholders can choose whether future advisory votes on executive compensation should be conducted every “ONE YEAR,” “TWO YEARS” or “THREE YEARS” or may “ABSTAIN” from voting. The frequency receiving the highest number of votes will be considered the non-binding advisory vote of our shareholders. Abstentions and broker non-votes will have no effect on the outcome of this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recommends that stockholders vote “ONE YEAR” on this matter—to continue to hold say on pay votes on executive compensation annually. The Board believes that an annual advisory vote on executive compensation is consistent with our commitment to strong corporate governance and will put us in the optimal position to regularly solicit timely, direct input from our stockholders on our executive compensation program. Further, an annual vote promotes greater accountability to stockholders and enhances the Board’s responsiveness to stockholder sentiment regarding compensation matters.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PROPOSAL 7: RATIFICATION OF THE SELECTION OF OUR INDEPENDENT REGISTERED PUBLIC ACCOUNTING FIRM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is directly responsible for the appointment, compensation, retention and oversight of the Company’s independent registered public accounting firm. To fulfill this responsibility, the committee engages in a comprehensive annual evaluation of the independent registered public accounting firm’s qualifications, performance and independence, and considers whether the independent registered public accounting firm should be rotated and the advisability and potential impact of selecting a different independent registered public accounting firm.</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has selected WithumSmith+Brown, PC (“Withum”) as our independent registered public accounting firm for the year ending December 31, 2026. Withum has served in this capacity since 2020. In accordance with SEC rules and Withum policies, audit partners are subject to rotation requirements to limit the number of consecutive years an individual partner may provide audit services to our Company. For the lead audit engagement partner and the engagement quality control reviewing partner, the maximum number of consecutive years of service in that capacity is five years. In selecting the Company’s lead audit engagement partner pursuant to this rotation policy, management interviews candidates proposed by Withum and recommends the final candidate to the Audit Committee. The Chair of the Audit Committee and, to the extent possible, all other members of the Audit Committee meet with the final candidate for the role, and the full committee holds a discussion in executive session and with management regarding the final candidate and his or her qualifications.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and the Board believe that the continued retention of Withum as our independent registered public accounting firm is in the best interest of the Company and our stockholders, and we are asking our stockholders to ratify the selection of Withum as our independent registered public accounting firm for 2026. Although not required by our organizational documents or applicable law, our Board is submitting the selection of Withum to our stockholders for ratification because we value our stockholders’ views on the Company’s independent registered public accounting firm, and we believe doing so is consistent with good corporate governance. If the selection of Withum as our independent registered public accounting firm is not ratified by our stockholders, the Audit Committee will re-evaluate its selection, taking into consideration the stockholder vote on the ratification. However, the Audit Committee is solely responsible for selecting and terminating our independent registered public accounting firm and may do so at any time at its discretion. A representative of Withum is expected to attend the Annual Meeting and be available to respond to appropriate questions. The representative will also be afforded an opportunity to make a statement, if he or she desires to do so.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Fees and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is responsible for the compensation of the Company’s independent registered public accounting firm and oversees the audit fee negotiations associated with the Company’s retention of Withum. The following table shows the fees for audit and other services provided by Withum for fiscal years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Fees</w:t>
            </w:r>
          </w:p>
        </w:tc>
        <w:tc>
          <w:tcPr>
            <w:tcW w:w="51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5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548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38,000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540,695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12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4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46" w:name="page47"/>
    <w:bookmarkEnd w:id="46"/>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This category includes fees billed for professional services rendered by Withum for the audit of our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of our internal control over financial reporting, review of the consolidated financial statements included in our Quarterly Reports on Form 10-Q and services that are normally provided by the independent registered public accounting firm in connection with acquisitions, new accounting or audit standards and statutory or regulatory filings or engagements, including comfort letters and consents issued in connection with SEC filings.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Audit-Related Fees</w:t>
      </w:r>
      <w:r>
        <w:rPr>
          <w:rFonts w:ascii="Times New Roman" w:cs="Times New Roman" w:eastAsia="Times New Roman" w:hAnsi="Times New Roman"/>
          <w:sz w:val="18"/>
          <w:szCs w:val="18"/>
          <w:color w:val="auto"/>
        </w:rPr>
        <w:t>. This category includes the aggregate fees billed for assurance and related services by the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that are reasonably related to the performance of the audit or review of our consolidated financial statements.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This category includes the fees billed for services related to tax compliance, tax advice and tax planning.</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This category includes the aggregate fees billed for any other products and services provided by the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including for services performed related to S-1, Form S-3 and Form S-8 filings.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charter for our Audit Committee states that the Audit Committee shall review and approve the independent auditor’s annual engagement letter, including the proposed fees contained therein, as well as all audit and permitted non-audit engagements and relationships between the Company and the independent auditor (which approval should be made after receiving input from the Company’s management, if desired). Approval of audit and permitted non-audited services will also be made by the Audit Committee. The Audit Committee may also delegate pre-approval authority to one or more of its members, who shall report any pre-approval decisions to the Audit Committee at its next regularly scheduled meeting.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Withum services and fees listed in the table above were pre-approved by the Audit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Approval of Proposal 7 requires the affirmative vote of the holders of a majority of the total number of shares of common stock present at the meeting in person (including via live webcast) or represented by proxy and entitled to vote on such matter, voting as a single class. Brokers will have discretionary authority to vote on Proposal 7, since it is considered a routine matter under Nasdaq rules. Abstentions will be counted as present and entitled to vote and will have the same effect as votes “against” this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recommends that you vote “FOR” the ratification of the selection of Withum as our independent registered public accounting firm for the year ending December 31, 2026.</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aware of any other matters that will be properly brought before the Annual Meeting. However, if any additional matters are properly brought before the Annual Meeting, Khurram P. Sheikh and Camillo Martino will vote as recommended by the Board or, if no recommendation is given, in accordance with their judgment. Khurram P. Sheikh and Camillo Martino were designated to be your proxies by the Board.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AVAILABILITY OF ANNUAL REPORT AND PROXY STATEMENT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SEC permits companies and intermediaries, such as a brokerage firm or a bank, to satisfy the delivery requirements for Notices and proxy materials with respect to two or more stockholders sharing the same address by delivering only one Notice or set of proxy materials to that address. This process, which is commonly referred to as “householding,” can effectively reduce our printing and postage costs. This delivery method will not be used if we receive contrary instructions from one or more of the stockholders sharing a mailing address. If your household has received only one copy, we will promptly deliver a separate copy of the Proxy Statement to any stockholder who sends a written request to our Legal Department at Four Palo Alto Square, Suite 200, 3000 El Camino Real, Palo Alto, California, 94306. If you own shares of common stock through a bank, broker or other nominee and receive more than one Proxy Statement, contact the holder of record to eliminate duplicate mailings.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If you would like to receive a copy of our Annual Report on Form 10-K, or this proxy statement, please contact our Legal Department by mail at CXApp Inc., Four Palo Alto Square, Suite 200, 3000 El Camino Real, Palo Alto, California, 94306, or by telephone at (650) 785-7171, and we will send a copy to you without charge. Please note, however, that if you wish to receive a paper proxy card or other proxy materials for the purpose of the Annual Meeting, you should follow the instructions included in this proxy statement.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ATTENDING THE 2026 ANNUAL MEETING OF STOCKHOLDERS OF CXAPP INC.</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2026 Annual Meeting of Stockholders of CXApp Inc. will be held in a virtual format only, on June 16, 2026, at 2 P.M., Pacific Time. You are entitled to attend the Annual Meeting only if you were a CXApp stockholder as of the record date or you hold a valid proxy for the Annual Meeting.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designed the format of the Annual Meeting to ensure that stockholders are afforded the same rights and opportunities to participate as they would at an in-person meeting. To attend, vote and submit questions at the Annual Meeting, please log in to www.virtualshareholdermeeting.com/CXAI2026 using the control number on your proxy card, voting instruction form or this proxy statement. Online access to the Annual Meeting will begin approximately 15 minutes prior to the start of the Annual Meeting. As part of the Annual Meeting, we will hold a live Q&amp;A session during which we intend to answer questions submitted during the Annual Meeting that are pertinent to the Company and meeting matters, as time permits. We will offer live technical support for all stockholders attending the Annual Meeting. If there are any technical issues in convening or hosting the meeting, we will promptly post information to our Investor Relations website, ir.cxapp.com, including information on when the meeting will be reconvened.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encourage you to vote your proxy via the Internet, by telephone, or by mail prior to the Annual Meeting, even if you plan to attend the Annual Meeting. A list of stockholders of record entitled to vote at the Annual Meeting will be available to stockholders at least 10 days prior to our Annual Meeting at our principal executive offices located at Four Palo Alto Square, Suite 200, 3000 El Camino Real, Palo Alto, California, 94306 during normal business hours, and at the Annual Meeting. It will also be accessible during the Annual Meeting by visiting the meeting website and entering the control number referenced above. Additional information regarding the rules and procedures for participating in the Annual Meeting will be provided in our meeting rules of conduct, which stockholders can view during the Annual Meeting at the meeting website.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file reports, proxy statements and other information with the SEC as required by the Exchange Act. You can read the Company’s SEC filings, including this proxy statement, at the SEC’s website at www.sec.gov or on our website at www.cxapp.com. The Company’s website and the information contained on, or that can be accessed through, the website is not deemed to be incorporated by reference in, and is not considered part of, this proxy statement.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 or if you have questions about the proposals to be presented at the Annual Meeting, you should contact the Company at Four Palo Alto Square, Suite 200, 3000 El Camino Real, Palo Alto, California, 94306, or (650) 785-7171.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stockholder of the Company and would like to request documents, please do so by June 9, 2026 (one week prior to the Annual Meeting), in order to receive them before the Annual Meeting. If you request any documents from us, we will mail them to you by first class mail, or another equally prompt means.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know of any matters to be presented at the Annual Meeting other than those mentioned in this proxy statement. If any other matters properly come before the Annual Meeting, it is the intention of the persons named in the enclosed form of proxy to vote the shares they represent as the Board recommends.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ANNEX A – FORM OF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181610</wp:posOffset>
            </wp:positionV>
            <wp:extent cx="6429375" cy="8298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29375" cy="8298180"/>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33020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type w:val="continuous"/>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559435</wp:posOffset>
            </wp:positionH>
            <wp:positionV relativeFrom="page">
              <wp:posOffset>517525</wp:posOffset>
            </wp:positionV>
            <wp:extent cx="6429375" cy="8298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429375" cy="8298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33020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CXAPP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CXApp Inc., a corporation organized and existing under the laws of the State of Delaware (the “Corporation”), does hereby certify as follows:</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CXApp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duly adopted resolutions (i) authorizing the Corporation to execute and file with the Secretary of State of the State of Delaware an amendment of the Corporation’s Certificate of Incorporation (as amended, the “Certificate of Incorporation”) to effect a reverse stock split at a ratio of [__]-for-[__], (ii) declaring such amendment to be advisable and in the best interest of the Corporation, and (iii) calling for the consideration and approval thereof at a meeting of the stockholders of the Corporation.</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this Certificate of Amendment becoming effective, Article FIFTH of the Second Amended and Restated Certificate of Incorporation of the Corporation is hereby amended by adding the following new paragraph:</w:t>
      </w:r>
    </w:p>
    <w:p>
      <w:pPr>
        <w:spacing w:after="0" w:line="161"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effectiveness (the “Effective Time”) pursuant to the Delaware General Corporation Law of this Certificate of Amendment to the Second Amended and Restated Certificate of Incorporation of the Corporation, each [______ (__)] shares of Common Stock issued and outstanding immediately prior to the Effective Time shall, automatically and without any action on the part of the respective holders thereof, be combined and converted into one (1) share of Common Stock (the “Reverse Stock Split”). No fractional shares shall be issued in connection with the Reverse Stock Split. Stockholders who otherwise would be entitled to receive fractional shares of Common Stock shall be entitled to be rounded up to the next whole share of Common Stock. Each certificate that immediately prior to the Effective Time represented shares of Common Stock (“Old Certificate”), shall thereafter represent that number of shares of Common Stock into which the shares of Common Stock represented by the Old Certificate shall have been combined, subject to adjustment for fractional share interests as described above. The Reverse Stock Split shall have no effect on the number of authorized stock, or par value per share, of the Corporation.”</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has been duly approved by the Board of Directors of the Corporation in accordance with Sections 141(f) and 242 of the General Corporation Law of the State of Delaware.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has been duly approved by the holders of the requisite number of shares of capital stock of the Corporation in accordance with Section 242 of the General Corporation Law of the State of Delaware and the applicable provisions of the Second Amended and Restated Certificate of Incorporation.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shall become effective at 4:01 p.m., Eastern Time, on [_______],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of Amendment to be executed by its duly authorized officer this _____ day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 2026.</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CXAPP INC.</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Khurram P. Sheikh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2"/>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2"/>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2026-04-27T16:19:34Z</dcterms:created>
  <dcterms:modified xsi:type="dcterms:W3CDTF">2026-04-27T16:19:34Z</dcterms:modified>
</cp:coreProperties>
</file>