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CXApp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001-39642</w:t>
            </w:r>
          </w:p>
        </w:tc>
        <w:tc>
          <w:tcPr>
            <w:tcW w:w="220" w:type="dxa"/>
            <w:vAlign w:val="bottom"/>
          </w:tcPr>
          <w:p>
            <w:pPr>
              <w:spacing w:after="0"/>
              <w:rPr>
                <w:sz w:val="21"/>
                <w:szCs w:val="21"/>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85-2104918</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6"/>
                <w:szCs w:val="16"/>
                <w:color w:val="auto"/>
              </w:rPr>
            </w:pPr>
          </w:p>
        </w:tc>
        <w:tc>
          <w:tcPr>
            <w:tcW w:w="224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File Number)</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Four Palo Alto Square, Suite 200</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3000 El Camino Real</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8"/>
        </w:trPr>
        <w:tc>
          <w:tcPr>
            <w:tcW w:w="452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Palo Alto, CA</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94306</w:t>
            </w:r>
          </w:p>
        </w:tc>
      </w:tr>
      <w:tr>
        <w:trPr>
          <w:trHeight w:val="228"/>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785-7171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CXAI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CXAIW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 2026, CXApp Inc.’s (“CXAI” or the “Company”) wholly owned subsidiary, CXAI Australia Pty Ltd (a company incorporated in Australia) (“CXAI Australia”), entered into and completed a Share Sale Deed (the “Agreement”) to acquire Virtus Digital Marketing Pty Ltd dba Engine Room Applications. (“EngineRoom”), an Australia-based AI-enabled growth intelligence platform company focused on customer acquisition intelligence, attribution analytics, workflow automation, operational reporting and AI-powered business optimization.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 CXAI Australia has acquired 100% of the issued and outstanding equity interests of EngineRoom.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was signed and closed simultaneously on June 3, 2026. The aggregate purchase price was approximately USD $4.6 million, consisting of the following components:</w:t>
      </w:r>
    </w:p>
    <w:p>
      <w:pPr>
        <w:spacing w:after="0" w:line="16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Approximately 65% of the total purchase price (approximately USD $2.99 million) was paid in cash at closing from the Company’s available cash on hand, subject to customary adjustments.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Consideration. Approximately 25% of the total purchase price (approximately USD $1.15 million) was structured as performance-based earnout consideration tied to achievement of specified revenue growth objectives over the 24-month period following closing.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Approximately 10% of the total purchase price (approximately USD $460,000) was deposited into escrow, subject to customary release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Share Purchase Agreement, CXAI has agreed to provide parent company support for CXAI Australia’s obligation to pay the purchase price.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is intended to expand CXAI’s addressable market, accelerate Agentic AI commercialization, and create a scalable foundation for global AI expansion across both enterprise and mid-market organizations. EngineRoom is expected to generate approximately $8.1 million of annual revenue with approximately 94% recurring revenue and approximately $1.6 million of adjusted EBITDA. The acquisition is expected to increase CXAI’s annualized revenue run-rate from approximately $4 million to more than $12 million annually, while adding approximately $1.6 million of adjusted EBITDA and a highly recurring revenue base.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is expected to:</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CXAI’s addressable market across enterprise and mid-market organizations;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annualized revenue run-rate and add meaningful EBITDA contribution;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Agentic AI commercialization through integration with EngineRoom’s Growth Intelligence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Company’s recurring revenue profile with an approximately 94% recurring revenue base;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scalable foundation for global AI expansion across multiple industries.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combination creates a differentiated platform at the intersection of operational intelligence, growth intelligence and Agentic AI, enabling CXAI to accelerate deployment of intelligent automation solutions across enterprise and mid-market organizations globally. Management believes the transaction creates a powerful foundation for deploying Agentic AI solutions that not only improve workplace experiences and operational outcomes, but also enhance customer acquisition, business performance, decision-making and growth.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closing, EngineRoom will continue to operate as “CXAI EngineRoom” (“CXAI EngineRoom”) under the ownership of CXAI Australia, which supports CXAI’s broader global growth strategy. As part of the transaction, EngineRoom’s Founder, Adam Laurie, has committed to remain with the business for a minimum of three years following closing. Mr. Laurie will continue to lead the organization as General Manager of CXAI EngineRoom and will play a key role in expanding CXAI’s growth intelligence and Agentic AI initiatives.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Agreement, a copy of which is filed as Exhibit 2.1 to this Current Report on Form 8-K and is incorporated herein by reference.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statements and pro forma financial information required by Item 9.01 of Form 8-K, if applicable, will be filed by amendment within the time period permitted by applicable SEC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2026, the Company issued a press release announcing the execution of the Agreement and the strategic significance of the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including Exhibit 99.1, shall not be deemed “filed” for purposes of Section 18 of the Securities Exchange Act of 1934, as amended, nor incorporated by reference into any filing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ability of the Company to successfully integrate acquired businesses, retain their customers and realize expected synergies, financial benefits and growth opportunities from acquisitions; the demand for the Company’s services together with the possibility that the Company may be adversely affected by other economic, business, and/or competitive factors or changes in the business environment in which the Company operates; changes in customer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3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80" w:type="dxa"/>
            <w:vAlign w:val="bottom"/>
          </w:tcPr>
          <w:p>
            <w:pPr>
              <w:spacing w:after="0"/>
              <w:rPr>
                <w:sz w:val="24"/>
                <w:szCs w:val="24"/>
                <w:color w:val="auto"/>
              </w:rPr>
            </w:pP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Share Sale Deed, dated June 3, 2026, by and between CXApp Inc., CXAI Australia Pty Ltd and EngineRoom Pty Ltd</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846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3, 2026</w:t>
            </w:r>
          </w:p>
        </w:tc>
        <w:tc>
          <w:tcPr>
            <w:tcW w:w="164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20" w:hanging="5572"/>
        <w:spacing w:after="0" w:line="908"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-982345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CXApp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Khurram P. Sheikh</w:t>
            </w:r>
          </w:p>
        </w:tc>
      </w:tr>
      <w:tr>
        <w:trPr>
          <w:trHeight w:val="191"/>
        </w:trPr>
        <w:tc>
          <w:tcPr>
            <w:tcW w:w="3460" w:type="dxa"/>
            <w:vAlign w:val="bottom"/>
          </w:tcPr>
          <w:p>
            <w:pPr>
              <w:spacing w:after="0"/>
              <w:rPr>
                <w:sz w:val="16"/>
                <w:szCs w:val="16"/>
                <w:color w:val="auto"/>
              </w:rPr>
            </w:pPr>
          </w:p>
        </w:tc>
        <w:tc>
          <w:tcPr>
            <w:tcW w:w="27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Khurram P. Sheikh</w:t>
            </w:r>
          </w:p>
        </w:tc>
      </w:tr>
      <w:tr>
        <w:trPr>
          <w:trHeight w:val="234"/>
        </w:trPr>
        <w:tc>
          <w:tcPr>
            <w:tcW w:w="3460" w:type="dxa"/>
            <w:vAlign w:val="bottom"/>
          </w:tcPr>
          <w:p>
            <w:pPr>
              <w:spacing w:after="0"/>
              <w:rPr>
                <w:sz w:val="20"/>
                <w:szCs w:val="20"/>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560"/>
        </w:trPr>
        <w:tc>
          <w:tcPr>
            <w:tcW w:w="3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auto"/>
        </w:rPr>
        <w:t>SHARE SALE DEED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Virtus Digital Marketing Pty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ACN 158 692 356</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Each of the Sellers listed in Column 1 of Schedule 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CXAI Australia Pty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ACN 698 296 043</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Founder Guarantors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CXApp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20" w:type="dxa"/>
            <w:vAlign w:val="bottom"/>
          </w:tcPr>
          <w:p>
            <w:pPr>
              <w:ind w:left="3920"/>
              <w:spacing w:after="0"/>
              <w:rPr>
                <w:sz w:val="20"/>
                <w:szCs w:val="20"/>
                <w:color w:val="auto"/>
              </w:rPr>
            </w:pPr>
            <w:r>
              <w:rPr>
                <w:rFonts w:ascii="Times New Roman" w:cs="Times New Roman" w:eastAsia="Times New Roman" w:hAnsi="Times New Roman"/>
                <w:sz w:val="22"/>
                <w:szCs w:val="22"/>
                <w:b w:val="1"/>
                <w:bCs w:val="1"/>
                <w:color w:val="auto"/>
              </w:rPr>
              <w:t>CONTENTS</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8820" w:type="dxa"/>
            <w:vAlign w:val="bottom"/>
            <w:gridSpan w:val="2"/>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Interpretation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Basis of liability of the Sellers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Knowledge and awareness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Sellers’ Representative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PURCHASE OF SALE SHARES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2.1</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 and purchase of Sale Shares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rights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2.3</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Title and Risk</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pre-emptive rights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of the Sale Shares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Consideration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3.3</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Allocation of the Purchase Price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Adjustment Amount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3.6</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for certain 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Buyer’s right to withhold and set-off</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COMPLETION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Date, time and place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Actions by the Sellers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Actions by the Buyer</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Board Meeting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4.5</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Interdependence of obligations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POST-COMPLETION OBLIGATIONS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5.1</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ASIC Notifications after Completion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5.2</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Wrong pockets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5.3</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Transfer of domain names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 of members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5.5</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Power of attorney</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COMPLETION ACCOUNTS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6.1</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Preparation and delivery of Completion Accounts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Assistance from the Sellers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6.3</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Response to Draft Completion Accounts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Resolution of disputes and finalisation of Completion Accounts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6.5</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Determination by the Expert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Completion Accounts to state Actual Working Capital, Actual Cash and Actual Debt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SELLERS’ WARRANTIES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7.1</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&amp; Capacity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7.2</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Warranties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Separate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7.4</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Inducement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7.5</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Indemnity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TAX INDEMNITY</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Indemnity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8.2</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 of Tax Assessments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w:t>
            </w:r>
          </w:p>
        </w:tc>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Sellers not liable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8.4</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Claim refund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SPECIFIC INDEMNITIES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9.1</w:t>
            </w:r>
          </w:p>
        </w:tc>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Specific indemnities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LIMITATION OF LIABILITY</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Strict Liability – Title &amp; Capacity Warranties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Acknowledgments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Maximum Liability</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Limits on Claims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10.6</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 Limits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10.7</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potential Claim</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10.8</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Limitations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10.9</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Exclusions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10.10</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double recovery</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10.11</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benefit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10.12</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up for Tax</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10.13</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10.14</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limitations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BUYER’S WARRANTIES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ESCROW</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12.1</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Escrow arrangement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12.2</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from Escrow Account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12.3</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Entitlement to First Escrow Amount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12.4</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Entitlement to Second Escrow Amount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12.5</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 Reduction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12.6</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Buyer’s rights not limited</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POST-COMPLETION OBLIGATIONS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13.1</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Returns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(Independent Tax Reviewer); and</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13.2</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Audit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14.1</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by Buyer</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14.2</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by Sellers’ Representative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14.3</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Termination</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14.4</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not limited</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14.5</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14.6</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 of Confidential Information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15.1</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 obligation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15.2</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Permitted disclosures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15.3</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 to other persons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15.4</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Announcement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RESTRAINT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16.1</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Non-compete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16.2</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clause 16.1 to Restricted Affiliates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16.3</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Exception to non-compete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16.4</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Non-solicitation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16.5</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Application of clause 16.4 to Restricted Affiliates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16.6</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Exceptions to non-solicitation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16.7</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Restraints cumulative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16.8</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Acknowledgments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PARENT COMPANY GUARANTEE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17.1</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and indemnity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GUARANTEE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18.1</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18.2</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Guarantee and indemnity</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18.3</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Non-payment or non-performance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18.4</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18.5</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Immediate recourse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18.6</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obligations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18.7</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Extent of guarantee and indemnity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18.8</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and independent obligation</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18.9</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Deferral of certain rights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18.10</w:t>
            </w: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Prove in liquidation</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440" w:type="dxa"/>
            <w:vAlign w:val="bottom"/>
          </w:tcPr>
          <w:p>
            <w:pPr>
              <w:spacing w:after="0"/>
              <w:rPr>
                <w:sz w:val="20"/>
                <w:szCs w:val="20"/>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18.11</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Enforcement against Guarantor</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19.</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GST</w:t>
            </w:r>
          </w:p>
        </w:tc>
        <w:tc>
          <w:tcPr>
            <w:tcW w:w="7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19.1</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19.2</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Supply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19.3</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Consideration is exclusive of GST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19.4</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Recipient to pay an additional amount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19.5</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Timing of GST payment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19.6</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invoice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19.7</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Reimbursement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19.8</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events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20.</w:t>
            </w: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of notices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on receipt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 service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21.</w:t>
            </w: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DISPUTE RESOLUTION BEFORE COMMENCEMENT OF PROCEEDINGS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16"/>
        </w:trPr>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22.</w:t>
            </w:r>
          </w:p>
        </w:tc>
        <w:tc>
          <w:tcPr>
            <w:tcW w:w="8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22.1</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22.2</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Approvals, consents and exercise of rights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22.3</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22.4</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22.5</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22.6</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 used</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22.7</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action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22.8</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merger</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22.9</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22.10</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22.11</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22.12</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Relationship</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22.13</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Remedies cumulative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22.14</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22.15</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22.16</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Formation of Contract by Electronic Communications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8"/>
        </w:trPr>
        <w:tc>
          <w:tcPr>
            <w:tcW w:w="44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22.17</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of liability of trustee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 A - Sellers and Sale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Completion Deliverables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Earn Out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Principles for the Completion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Sellers’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Buyer’s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Officers to resign and to be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 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Permitted Encumbrances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ANNEXURE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Promissory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AS A DEED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ANNEXURE B</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Deed of Repayment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Payment</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Discharge of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Termination</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Release</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Enforcement by 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ANNEXURE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Accounts (for net revenue calculation)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ANNEXURE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Data Room Index</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[inserted over page]</w:t>
      </w:r>
    </w:p>
    <w:p>
      <w:pPr>
        <w:spacing w:after="0" w:line="31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6"/>
        </w:trPr>
        <w:tc>
          <w:tcPr>
            <w:tcW w:w="1980" w:type="dxa"/>
            <w:vAlign w:val="bottom"/>
          </w:tcPr>
          <w:p>
            <w:pPr>
              <w:spacing w:after="0"/>
              <w:rPr>
                <w:sz w:val="24"/>
                <w:szCs w:val="24"/>
                <w:color w:val="auto"/>
              </w:rPr>
            </w:pPr>
          </w:p>
        </w:tc>
        <w:tc>
          <w:tcPr>
            <w:tcW w:w="9260" w:type="dxa"/>
            <w:vAlign w:val="bottom"/>
          </w:tcPr>
          <w:p>
            <w:pPr>
              <w:ind w:left="2640"/>
              <w:spacing w:after="0"/>
              <w:rPr>
                <w:sz w:val="20"/>
                <w:szCs w:val="20"/>
                <w:color w:val="auto"/>
              </w:rPr>
            </w:pPr>
            <w:r>
              <w:rPr>
                <w:rFonts w:ascii="Times New Roman" w:cs="Times New Roman" w:eastAsia="Times New Roman" w:hAnsi="Times New Roman"/>
                <w:sz w:val="22"/>
                <w:szCs w:val="22"/>
                <w:b w:val="1"/>
                <w:bCs w:val="1"/>
                <w:color w:val="auto"/>
              </w:rPr>
              <w:t>SHARE SALE DEED</w:t>
            </w:r>
          </w:p>
        </w:tc>
      </w:tr>
      <w:tr>
        <w:trPr>
          <w:trHeight w:val="42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June 3, 2026</w:t>
            </w:r>
          </w:p>
        </w:tc>
        <w:tc>
          <w:tcPr>
            <w:tcW w:w="9260" w:type="dxa"/>
            <w:vAlign w:val="bottom"/>
          </w:tcPr>
          <w:p>
            <w:pPr>
              <w:spacing w:after="0"/>
              <w:rPr>
                <w:sz w:val="24"/>
                <w:szCs w:val="24"/>
                <w:color w:val="auto"/>
              </w:rPr>
            </w:pP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DETAILS OF PARTIES</w:t>
            </w:r>
          </w:p>
        </w:tc>
        <w:tc>
          <w:tcPr>
            <w:tcW w:w="9260" w:type="dxa"/>
            <w:vAlign w:val="bottom"/>
          </w:tcPr>
          <w:p>
            <w:pPr>
              <w:spacing w:after="0"/>
              <w:rPr>
                <w:sz w:val="24"/>
                <w:szCs w:val="24"/>
                <w:color w:val="auto"/>
              </w:rPr>
            </w:pPr>
          </w:p>
        </w:tc>
      </w:tr>
      <w:tr>
        <w:trPr>
          <w:trHeight w:val="216"/>
        </w:trPr>
        <w:tc>
          <w:tcPr>
            <w:tcW w:w="1980" w:type="dxa"/>
            <w:vAlign w:val="bottom"/>
            <w:tcBorders>
              <w:bottom w:val="single" w:sz="8" w:color="auto"/>
            </w:tcBorders>
          </w:tcPr>
          <w:p>
            <w:pPr>
              <w:spacing w:after="0"/>
              <w:rPr>
                <w:sz w:val="18"/>
                <w:szCs w:val="18"/>
                <w:color w:val="auto"/>
              </w:rPr>
            </w:pPr>
          </w:p>
        </w:tc>
        <w:tc>
          <w:tcPr>
            <w:tcW w:w="9260" w:type="dxa"/>
            <w:vAlign w:val="bottom"/>
            <w:tcBorders>
              <w:bottom w:val="single" w:sz="8" w:color="auto"/>
            </w:tcBorders>
          </w:tcPr>
          <w:p>
            <w:pPr>
              <w:spacing w:after="0"/>
              <w:rPr>
                <w:sz w:val="18"/>
                <w:szCs w:val="18"/>
                <w:color w:val="auto"/>
              </w:rPr>
            </w:pPr>
          </w:p>
        </w:tc>
      </w:tr>
      <w:tr>
        <w:trPr>
          <w:trHeight w:val="40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Virtus Digital Marketing Pty Ltd</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ACN</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158 692 356</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Label</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Adam Laurie</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 Orchard Drive, Croydon, VIC, 3136</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adam.laurie@engineroom.com.au</w:t>
            </w:r>
          </w:p>
        </w:tc>
      </w:tr>
      <w:tr>
        <w:trPr>
          <w:trHeight w:val="216"/>
        </w:trPr>
        <w:tc>
          <w:tcPr>
            <w:tcW w:w="1980" w:type="dxa"/>
            <w:vAlign w:val="bottom"/>
            <w:tcBorders>
              <w:bottom w:val="single" w:sz="8" w:color="auto"/>
            </w:tcBorders>
          </w:tcPr>
          <w:p>
            <w:pPr>
              <w:spacing w:after="0"/>
              <w:rPr>
                <w:sz w:val="18"/>
                <w:szCs w:val="18"/>
                <w:color w:val="auto"/>
              </w:rPr>
            </w:pPr>
          </w:p>
        </w:tc>
        <w:tc>
          <w:tcPr>
            <w:tcW w:w="9260" w:type="dxa"/>
            <w:vAlign w:val="bottom"/>
            <w:tcBorders>
              <w:bottom w:val="single" w:sz="8" w:color="auto"/>
            </w:tcBorders>
          </w:tcPr>
          <w:p>
            <w:pPr>
              <w:spacing w:after="0"/>
              <w:rPr>
                <w:sz w:val="18"/>
                <w:szCs w:val="18"/>
                <w:color w:val="auto"/>
              </w:rPr>
            </w:pPr>
          </w:p>
        </w:tc>
      </w:tr>
      <w:tr>
        <w:trPr>
          <w:trHeight w:val="40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CXAI Australia Pty Ltd</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ACN</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698 296 043</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Label</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Buyer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Khurram Sheikh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 McBurneys Chartered Accountants, Level 10/68 Pitt St, Sydney NSW 2000</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khurram@cxapp.com</w:t>
            </w:r>
          </w:p>
        </w:tc>
      </w:tr>
      <w:tr>
        <w:trPr>
          <w:trHeight w:val="216"/>
        </w:trPr>
        <w:tc>
          <w:tcPr>
            <w:tcW w:w="1980" w:type="dxa"/>
            <w:vAlign w:val="bottom"/>
            <w:tcBorders>
              <w:bottom w:val="single" w:sz="8" w:color="auto"/>
            </w:tcBorders>
          </w:tcPr>
          <w:p>
            <w:pPr>
              <w:spacing w:after="0"/>
              <w:rPr>
                <w:sz w:val="18"/>
                <w:szCs w:val="18"/>
                <w:color w:val="auto"/>
              </w:rPr>
            </w:pPr>
          </w:p>
        </w:tc>
        <w:tc>
          <w:tcPr>
            <w:tcW w:w="9260" w:type="dxa"/>
            <w:vAlign w:val="bottom"/>
            <w:tcBorders>
              <w:bottom w:val="single" w:sz="8" w:color="auto"/>
            </w:tcBorders>
          </w:tcPr>
          <w:p>
            <w:pPr>
              <w:spacing w:after="0"/>
              <w:rPr>
                <w:sz w:val="18"/>
                <w:szCs w:val="18"/>
                <w:color w:val="auto"/>
              </w:rPr>
            </w:pPr>
          </w:p>
        </w:tc>
      </w:tr>
      <w:tr>
        <w:trPr>
          <w:trHeight w:val="40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CXApp Inc.</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Label</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Parent Company</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Khurram Sheikh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Four Palo Alto Square, Suite 200, 3000 El Camino Real, Palo Alto, CA 94306</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khurram@cxapp.com</w:t>
            </w:r>
          </w:p>
        </w:tc>
      </w:tr>
      <w:tr>
        <w:trPr>
          <w:trHeight w:val="216"/>
        </w:trPr>
        <w:tc>
          <w:tcPr>
            <w:tcW w:w="1980" w:type="dxa"/>
            <w:vAlign w:val="bottom"/>
            <w:tcBorders>
              <w:bottom w:val="single" w:sz="8" w:color="auto"/>
            </w:tcBorders>
          </w:tcPr>
          <w:p>
            <w:pPr>
              <w:spacing w:after="0"/>
              <w:rPr>
                <w:sz w:val="18"/>
                <w:szCs w:val="18"/>
                <w:color w:val="auto"/>
              </w:rPr>
            </w:pPr>
          </w:p>
        </w:tc>
        <w:tc>
          <w:tcPr>
            <w:tcW w:w="9260" w:type="dxa"/>
            <w:vAlign w:val="bottom"/>
            <w:tcBorders>
              <w:bottom w:val="single" w:sz="8" w:color="auto"/>
            </w:tcBorders>
          </w:tcPr>
          <w:p>
            <w:pPr>
              <w:spacing w:after="0"/>
              <w:rPr>
                <w:sz w:val="18"/>
                <w:szCs w:val="18"/>
                <w:color w:val="auto"/>
              </w:rPr>
            </w:pPr>
          </w:p>
        </w:tc>
      </w:tr>
      <w:tr>
        <w:trPr>
          <w:trHeight w:val="40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persons listed in Column 1 of the table in Part A of Schedule 1</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Label</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Sellers</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set out in Column 6 of the table in Schedule 1</w:t>
            </w:r>
          </w:p>
        </w:tc>
      </w:tr>
      <w:tr>
        <w:trPr>
          <w:trHeight w:val="216"/>
        </w:trPr>
        <w:tc>
          <w:tcPr>
            <w:tcW w:w="1980" w:type="dxa"/>
            <w:vAlign w:val="bottom"/>
            <w:tcBorders>
              <w:bottom w:val="single" w:sz="8" w:color="auto"/>
            </w:tcBorders>
          </w:tcPr>
          <w:p>
            <w:pPr>
              <w:spacing w:after="0"/>
              <w:rPr>
                <w:sz w:val="18"/>
                <w:szCs w:val="18"/>
                <w:color w:val="auto"/>
              </w:rPr>
            </w:pPr>
          </w:p>
        </w:tc>
        <w:tc>
          <w:tcPr>
            <w:tcW w:w="9260" w:type="dxa"/>
            <w:vAlign w:val="bottom"/>
            <w:tcBorders>
              <w:bottom w:val="single" w:sz="8" w:color="auto"/>
            </w:tcBorders>
          </w:tcPr>
          <w:p>
            <w:pPr>
              <w:spacing w:after="0"/>
              <w:rPr>
                <w:sz w:val="18"/>
                <w:szCs w:val="18"/>
                <w:color w:val="auto"/>
              </w:rPr>
            </w:pPr>
          </w:p>
        </w:tc>
      </w:tr>
      <w:tr>
        <w:trPr>
          <w:trHeight w:val="40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persons listed in Column 1 of the table in Part B of Schedule 1</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Label</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Founder Guarantors</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9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set out in Column 2 of the table in Schedule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registered under the Corporations Act and incorporated in Victoria.</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are the registered holders and beneficial owners of the Sale Shares.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agreed to sell the Sale Shares to the Buyer, and the Buyer has agreed to buy the Sale Shares from the Sellers, on the terms and conditions set out in this document.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Guarantors have agreed to guarantee the obligations of the Founder Sellers, in each case on the terms set out in this document.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OPERATIVE PROVISIONS</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7"/>
          <w:szCs w:val="17"/>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definitions apply in this document: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AASB </w:t>
      </w:r>
      <w:r>
        <w:rPr>
          <w:rFonts w:ascii="Times New Roman" w:cs="Times New Roman" w:eastAsia="Times New Roman" w:hAnsi="Times New Roman"/>
          <w:sz w:val="18"/>
          <w:szCs w:val="18"/>
          <w:color w:val="auto"/>
        </w:rPr>
        <w:t>means the Australian Accounting Standards Board.</w:t>
      </w:r>
    </w:p>
    <w:p>
      <w:pPr>
        <w:spacing w:after="0" w:line="22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Acceptable Releases </w:t>
      </w:r>
      <w:r>
        <w:rPr>
          <w:rFonts w:ascii="Times New Roman" w:cs="Times New Roman" w:eastAsia="Times New Roman" w:hAnsi="Times New Roman"/>
          <w:sz w:val="18"/>
          <w:szCs w:val="18"/>
          <w:color w:val="auto"/>
        </w:rPr>
        <w:t>means documentation evidencing, to the satisfaction of the Buyer, that all Encumbrances over the Sale Shares,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Assets (other than, in relation to the Company and the Assets, the Permitted Encumbrances) have been discharged, and in each case:</w:t>
      </w:r>
    </w:p>
    <w:p>
      <w:pPr>
        <w:spacing w:after="0" w:line="15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by the relevant holder of the Encumbrance;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Security Interest registered on the PPSR, with an undertaking to remove all registrations in respect of the Security Interest as soon as practicable after Completion.</w:t>
      </w:r>
    </w:p>
    <w:p>
      <w:pPr>
        <w:spacing w:after="0" w:line="158"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Accounting Standards </w:t>
      </w:r>
      <w:r>
        <w:rPr>
          <w:rFonts w:ascii="Times New Roman" w:cs="Times New Roman" w:eastAsia="Times New Roman" w:hAnsi="Times New Roman"/>
          <w:sz w:val="18"/>
          <w:szCs w:val="18"/>
          <w:color w:val="auto"/>
        </w:rPr>
        <w:t>means the requirements of the Australian Accounting Standards and other authoritative pronouncements of the Australian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Standards Board, the requirements of the Corporations Act in relation to the preparation and content of accounts and, to the extent that any matter is not covered by them, means generally accepted accounting principles, policies, practices and procedures as set out in the Australian Statements of Accounting Concepts, applied from time to time in Australia for companies similar to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Accounts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statement of financial position of the Company as at the Accounts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statements of financial performance of the Company for the 12-month period ended on the Accounts Date;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statements and reports attached to and forming part of those 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which are included in folder “7.3 Financials” in the Data Room.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Accounts Date </w:t>
      </w:r>
      <w:r>
        <w:rPr>
          <w:rFonts w:ascii="Times New Roman" w:cs="Times New Roman" w:eastAsia="Times New Roman" w:hAnsi="Times New Roman"/>
          <w:sz w:val="18"/>
          <w:szCs w:val="18"/>
          <w:color w:val="auto"/>
        </w:rPr>
        <w:t>means 30 June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Actual Cash </w:t>
      </w:r>
      <w:r>
        <w:rPr>
          <w:rFonts w:ascii="Times New Roman" w:cs="Times New Roman" w:eastAsia="Times New Roman" w:hAnsi="Times New Roman"/>
          <w:sz w:val="18"/>
          <w:szCs w:val="18"/>
          <w:color w:val="auto"/>
        </w:rPr>
        <w:t>means the amount of Cash as at the Effective Time, as determined in accordance with Schedule 5 and clause 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Actual Debt </w:t>
      </w:r>
      <w:r>
        <w:rPr>
          <w:rFonts w:ascii="Times New Roman" w:cs="Times New Roman" w:eastAsia="Times New Roman" w:hAnsi="Times New Roman"/>
          <w:sz w:val="18"/>
          <w:szCs w:val="18"/>
          <w:color w:val="auto"/>
        </w:rPr>
        <w:t>means the amount of Debt as at the Effective Time, as determined in accordance with Schedule 5 and clause 6.</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Actual Working Capital </w:t>
      </w:r>
      <w:r>
        <w:rPr>
          <w:rFonts w:ascii="Times New Roman" w:cs="Times New Roman" w:eastAsia="Times New Roman" w:hAnsi="Times New Roman"/>
          <w:sz w:val="18"/>
          <w:szCs w:val="18"/>
          <w:color w:val="auto"/>
        </w:rPr>
        <w:t>means the Company’s working capital balance as at the Effective Time, as determined in accordance with Schedule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clause 6.</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Adjustment Amount </w:t>
      </w:r>
      <w:r>
        <w:rPr>
          <w:rFonts w:ascii="Times New Roman" w:cs="Times New Roman" w:eastAsia="Times New Roman" w:hAnsi="Times New Roman"/>
          <w:sz w:val="18"/>
          <w:szCs w:val="18"/>
          <w:color w:val="auto"/>
        </w:rPr>
        <w:t>has the meaning given in clause 3.5.</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Adjustment Payment Date </w:t>
      </w:r>
      <w:r>
        <w:rPr>
          <w:rFonts w:ascii="Times New Roman" w:cs="Times New Roman" w:eastAsia="Times New Roman" w:hAnsi="Times New Roman"/>
          <w:sz w:val="18"/>
          <w:szCs w:val="18"/>
          <w:color w:val="auto"/>
        </w:rPr>
        <w:t>means the date which is 10 Business Days after the date on which the Actual Working Capital, Actual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Debt amounts are Finally Resolved in accordance with clause 6 or any other date agreed between the Sellers’ Representative and the Buyer in writing.</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where the party to whom the reference relates is a body corporate, means:</w:t>
      </w:r>
    </w:p>
    <w:p>
      <w:pPr>
        <w:spacing w:after="0" w:line="229" w:lineRule="exact"/>
        <w:rPr>
          <w:sz w:val="20"/>
          <w:szCs w:val="20"/>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Related Body Corporate of the party;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the party (within the meaning of section 15 Corporations Act);</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(such as a natural person, body corporate, partnership or trust) which the party controls, or which is controlled by the party (within the meaning of section 50AA Corporations Act);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secretary of the party or a body corporate referred to in subclauses (a), (b) and (c) above, and their spouses and de facto spouses;</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(such as a natural person, body corporate, partnership or trust) controlled (within the meaning of section 50AA Corporations Act) by the individuals referred to in clause (d) above;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in which an individual referred to in clause (d) above owns or holds in the aggregate more than 20% of the voting shares (as defined in the Corporations Act);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of which the party or any person referred to in clauses (a) to (f) above:</w:t>
      </w:r>
    </w:p>
    <w:p>
      <w:pPr>
        <w:spacing w:after="0" w:line="22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50% or more of the distributions made from that trust in the three years before the date of the proposed event or transaction being considered; or</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responsible entity, trustee, manager or investment adviser of the trust; 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 the party to whom the reference relates is an individual, means:</w:t>
      </w:r>
    </w:p>
    <w:p>
      <w:pPr>
        <w:spacing w:after="0" w:line="225" w:lineRule="exact"/>
        <w:rPr>
          <w:sz w:val="20"/>
          <w:szCs w:val="20"/>
          <w:color w:val="auto"/>
        </w:rPr>
      </w:pPr>
    </w:p>
    <w:p>
      <w:pPr>
        <w:ind w:left="644" w:hanging="644"/>
        <w:spacing w:after="0"/>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 or de facto spouse of the party;</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(such as a natural person, body corporate, partnership or trust) controlled (within the meaning of section 50AA Corporations Act) by the party or by an individual referred to in clause (h) above;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in which the party or a person referred to in clause (h) above owns or holds in the aggregate more than 20% of the voting shares (as defined in the Corporations Act);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of which the party or any person referred to in clauses (h) to (j) above:</w:t>
      </w:r>
    </w:p>
    <w:p>
      <w:pPr>
        <w:spacing w:after="0" w:line="22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50% or more of the distributions made from that trust in the three years before the date of the proposed event or transaction being considered; or</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responsible entity, trustee, manager or investment adviser of the trust.</w:t>
      </w:r>
    </w:p>
    <w:p>
      <w:pPr>
        <w:spacing w:after="0" w:line="22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AI Data Sets </w:t>
      </w:r>
      <w:r>
        <w:rPr>
          <w:rFonts w:ascii="Times New Roman" w:cs="Times New Roman" w:eastAsia="Times New Roman" w:hAnsi="Times New Roman"/>
          <w:sz w:val="18"/>
          <w:szCs w:val="18"/>
          <w:color w:val="auto"/>
        </w:rPr>
        <w:t>means all data and other content that is used to train, validate, test or otherwise develop an AI Solution, including all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metadata and informational content derived from such data sets which identify, comment or otherwise derive information from such data sets, such as tags and labels.</w:t>
      </w:r>
    </w:p>
    <w:p>
      <w:pPr>
        <w:spacing w:after="0" w:line="2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AI Solution </w:t>
      </w:r>
      <w:r>
        <w:rPr>
          <w:rFonts w:ascii="Times New Roman" w:cs="Times New Roman" w:eastAsia="Times New Roman" w:hAnsi="Times New Roman"/>
          <w:sz w:val="18"/>
          <w:szCs w:val="18"/>
          <w:color w:val="auto"/>
        </w:rPr>
        <w:t>means artificial intelligence, machine learning and similar solutions, systems and technologies, including:</w:t>
      </w:r>
    </w:p>
    <w:p>
      <w:pPr>
        <w:spacing w:after="0" w:line="229" w:lineRule="exact"/>
        <w:rPr>
          <w:sz w:val="20"/>
          <w:szCs w:val="20"/>
          <w:color w:val="auto"/>
        </w:rPr>
      </w:pPr>
    </w:p>
    <w:p>
      <w:pPr>
        <w:ind w:left="644" w:hanging="644"/>
        <w:spacing w:after="0" w:line="282"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algorithms, technologies, software or systems that make use of or employ neural networks, natural language processing, statistical learning algorithms, or reinforcement learning;</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embodied artificial intelligence and related hardware or technologies;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AI Data Sets;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models, whether trained or untrained, including weights, parameters and structure or architecture.</w:t>
      </w:r>
    </w:p>
    <w:p>
      <w:pPr>
        <w:spacing w:after="0" w:line="221"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Assets </w:t>
      </w:r>
      <w:r>
        <w:rPr>
          <w:rFonts w:ascii="Times New Roman" w:cs="Times New Roman" w:eastAsia="Times New Roman" w:hAnsi="Times New Roman"/>
          <w:sz w:val="18"/>
          <w:szCs w:val="18"/>
          <w:color w:val="auto"/>
        </w:rPr>
        <w:t>means all plant, equipment, fixed tangible assets, tools, computer and communications hardware, inventory, Intellectual Property,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owned by the Company or used in the Business both as at the date of this document and at Completion.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Associate </w:t>
      </w:r>
      <w:r>
        <w:rPr>
          <w:rFonts w:ascii="Times New Roman" w:cs="Times New Roman" w:eastAsia="Times New Roman" w:hAnsi="Times New Roman"/>
          <w:sz w:val="18"/>
          <w:szCs w:val="18"/>
          <w:color w:val="auto"/>
        </w:rPr>
        <w:t>has the meaning given to that term by sections 10 to 17 of the Corporations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ASIC </w:t>
      </w:r>
      <w:r>
        <w:rPr>
          <w:rFonts w:ascii="Times New Roman" w:cs="Times New Roman" w:eastAsia="Times New Roman" w:hAnsi="Times New Roman"/>
          <w:sz w:val="18"/>
          <w:szCs w:val="18"/>
          <w:color w:val="auto"/>
        </w:rPr>
        <w:t>means the Australian Securities &amp; Investments Commission.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ATO </w:t>
      </w:r>
      <w:r>
        <w:rPr>
          <w:rFonts w:ascii="Times New Roman" w:cs="Times New Roman" w:eastAsia="Times New Roman" w:hAnsi="Times New Roman"/>
          <w:sz w:val="18"/>
          <w:szCs w:val="18"/>
          <w:color w:val="auto"/>
        </w:rPr>
        <w:t>means the Australian Taxation Office.</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Australian Consumer Law </w:t>
      </w:r>
      <w:r>
        <w:rPr>
          <w:rFonts w:ascii="Times New Roman" w:cs="Times New Roman" w:eastAsia="Times New Roman" w:hAnsi="Times New Roman"/>
          <w:sz w:val="18"/>
          <w:szCs w:val="18"/>
          <w:color w:val="auto"/>
        </w:rPr>
        <w:t>means Schedule 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Competition and Consumer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2010 (Cth) (and any equivalent State or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legislation) and any regulations made under it, and includes any consolidation, amendment, re-enactment or replacement of the legislation.</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Authorisations </w:t>
      </w:r>
      <w:r>
        <w:rPr>
          <w:rFonts w:ascii="Times New Roman" w:cs="Times New Roman" w:eastAsia="Times New Roman" w:hAnsi="Times New Roman"/>
          <w:sz w:val="18"/>
          <w:szCs w:val="18"/>
          <w:color w:val="auto"/>
        </w:rPr>
        <w:t>means any consent, registration, filing, agreement, notice of non-objection, notarisation, certificate, licence, approval,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or exemption issued by a Government Agency in relation to the Business.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means the growth marketing solution provider business carried on by the Company as at the Completion 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which is not a Saturday, Sunday, a bank holiday or a public holiday in Victoria, Australia.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Hours </w:t>
      </w:r>
      <w:r>
        <w:rPr>
          <w:rFonts w:ascii="Times New Roman" w:cs="Times New Roman" w:eastAsia="Times New Roman" w:hAnsi="Times New Roman"/>
          <w:sz w:val="18"/>
          <w:szCs w:val="18"/>
          <w:color w:val="auto"/>
        </w:rPr>
        <w:t>means from 9.00 a.m. and 5.00 p.m. on a Business Day.</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Products </w:t>
      </w:r>
      <w:r>
        <w:rPr>
          <w:rFonts w:ascii="Times New Roman" w:cs="Times New Roman" w:eastAsia="Times New Roman" w:hAnsi="Times New Roman"/>
          <w:sz w:val="18"/>
          <w:szCs w:val="18"/>
          <w:color w:val="auto"/>
        </w:rPr>
        <w:t>means any product which is (or has in the past been) marketed, designed, developed, manufactured, distributed,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exported, licensed, sold and/or supplied by the Business or any product in the course of development by the Business sold on or prior to Completion.</w:t>
      </w:r>
    </w:p>
    <w:p>
      <w:pPr>
        <w:spacing w:after="0" w:line="171"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Records </w:t>
      </w:r>
      <w:r>
        <w:rPr>
          <w:rFonts w:ascii="Times New Roman" w:cs="Times New Roman" w:eastAsia="Times New Roman" w:hAnsi="Times New Roman"/>
          <w:sz w:val="18"/>
          <w:szCs w:val="18"/>
          <w:color w:val="auto"/>
        </w:rPr>
        <w:t>means all books, files, reports, records, correspondence, documents, registers, accounts, data, programmes, software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(in whatever form stored), owned by the Company including:</w:t>
      </w:r>
    </w:p>
    <w:p>
      <w:pPr>
        <w:spacing w:after="0" w:line="159" w:lineRule="exact"/>
        <w:rPr>
          <w:sz w:val="20"/>
          <w:szCs w:val="20"/>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 books, statutory books and registers, books of account and copies of tax and other returns;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literature, market research reports, brochures and other promotional material;</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and purchasing records;</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13" w:name="page14"/>
    <w:bookmarkEnd w:id="13"/>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lists of, and other information on, all suppliers and customers;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trading and financial records;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and certificates of currency of insurance held by the Company.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Warranties </w:t>
      </w:r>
      <w:r>
        <w:rPr>
          <w:rFonts w:ascii="Times New Roman" w:cs="Times New Roman" w:eastAsia="Times New Roman" w:hAnsi="Times New Roman"/>
          <w:sz w:val="18"/>
          <w:szCs w:val="18"/>
          <w:color w:val="auto"/>
        </w:rPr>
        <w:t>means the Sellers’ Warranties other than the Title &amp; Capacity Warranties.</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Buyer Escrow Entitlement </w:t>
      </w:r>
      <w:r>
        <w:rPr>
          <w:rFonts w:ascii="Times New Roman" w:cs="Times New Roman" w:eastAsia="Times New Roman" w:hAnsi="Times New Roman"/>
          <w:sz w:val="18"/>
          <w:szCs w:val="18"/>
          <w:color w:val="auto"/>
        </w:rPr>
        <w:t>means, in respect of a Properly Made Escrow Claim that has been Finally Resolved in favour of the Buyer, the lesser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p>
    <w:p>
      <w:pPr>
        <w:spacing w:after="0" w:line="159" w:lineRule="exact"/>
        <w:rPr>
          <w:sz w:val="20"/>
          <w:szCs w:val="20"/>
          <w:color w:val="auto"/>
        </w:rPr>
      </w:pPr>
    </w:p>
    <w:p>
      <w:pPr>
        <w:ind w:left="644" w:hanging="644"/>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Finally Resolved Amount;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Amount Balance.</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Buyer Group </w:t>
      </w:r>
      <w:r>
        <w:rPr>
          <w:rFonts w:ascii="Times New Roman" w:cs="Times New Roman" w:eastAsia="Times New Roman" w:hAnsi="Times New Roman"/>
          <w:sz w:val="18"/>
          <w:szCs w:val="18"/>
          <w:color w:val="auto"/>
        </w:rPr>
        <w:t>means the Buyer, CXAI and each Related Body Corporate of CXAI including, after Completion, the Company, and</w:t>
      </w:r>
      <w:r>
        <w:rPr>
          <w:rFonts w:ascii="Times New Roman" w:cs="Times New Roman" w:eastAsia="Times New Roman" w:hAnsi="Times New Roman"/>
          <w:sz w:val="18"/>
          <w:szCs w:val="18"/>
          <w:b w:val="1"/>
          <w:bCs w:val="1"/>
          <w:color w:val="auto"/>
        </w:rPr>
        <w:t xml:space="preserve"> Buyer Group Company </w:t>
      </w:r>
      <w:r>
        <w:rPr>
          <w:rFonts w:ascii="Times New Roman" w:cs="Times New Roman" w:eastAsia="Times New Roman" w:hAnsi="Times New Roman"/>
          <w:sz w:val="18"/>
          <w:szCs w:val="18"/>
          <w:color w:val="auto"/>
        </w:rPr>
        <w:t>means any one of them.</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Buyer Missing Asset </w:t>
      </w:r>
      <w:r>
        <w:rPr>
          <w:rFonts w:ascii="Times New Roman" w:cs="Times New Roman" w:eastAsia="Times New Roman" w:hAnsi="Times New Roman"/>
          <w:sz w:val="18"/>
          <w:szCs w:val="18"/>
          <w:color w:val="auto"/>
        </w:rPr>
        <w:t>has the meaning given in clause 5.2(a).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Buyer’s Warranties </w:t>
      </w:r>
      <w:r>
        <w:rPr>
          <w:rFonts w:ascii="Times New Roman" w:cs="Times New Roman" w:eastAsia="Times New Roman" w:hAnsi="Times New Roman"/>
          <w:sz w:val="18"/>
          <w:szCs w:val="18"/>
          <w:color w:val="auto"/>
        </w:rPr>
        <w:t>means the representations and warranties set out in Schedule 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means the aggregate amount of:</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of the Company on hand or credited to an account with a bank or other financial institution, including all interest accrued thereon as at the Effective Time as recorded in the reconciled general ledgers of the Company (but excluding any trapped cash not readily available for use in the Business); and</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 of the Principal Loan.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CCA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Competition and Consumer Act 2010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any claim, notice, demand, action, proceeding, litigation, investigation, judgment or cause of action, whether based in contract, tort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negligence), under common law, equity or statute.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Company IP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right="20"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 marks used by the Company in the Business (registered or unregistered) including those trade marks set out in Table A of Schedule 9;</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names and trade names used by the Company in the Business, being those business names and trade names set out in Table B of Schedule 9;</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subsisting in the domain names used by the Company in the Business being those domain names set out in Table C of Schedule 9; 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unregistered Intellectual Property Rights (including copyright, trade secrets, know-how and rights in Confidential Information) used by the Company in the Business.</w:t>
      </w:r>
    </w:p>
    <w:p>
      <w:pPr>
        <w:spacing w:after="0" w:line="27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Competing Business </w:t>
      </w:r>
      <w:r>
        <w:rPr>
          <w:rFonts w:ascii="Times New Roman" w:cs="Times New Roman" w:eastAsia="Times New Roman" w:hAnsi="Times New Roman"/>
          <w:sz w:val="18"/>
          <w:szCs w:val="18"/>
          <w:color w:val="auto"/>
        </w:rPr>
        <w:t>includes any business that is the same and/or is substantially similar to or competitive with the Business.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means the completion of the sale and purchase of the Sale Shares in accordance with clause 4 of this document.</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Completion Accounts </w:t>
      </w:r>
      <w:r>
        <w:rPr>
          <w:rFonts w:ascii="Times New Roman" w:cs="Times New Roman" w:eastAsia="Times New Roman" w:hAnsi="Times New Roman"/>
          <w:sz w:val="18"/>
          <w:szCs w:val="18"/>
          <w:color w:val="auto"/>
        </w:rPr>
        <w:t>means the balance sheet of the Company as at the Effective Time, as referred to in, and prepared in accordance with, clause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 and Schedule 5.</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Completion Date </w:t>
      </w:r>
      <w:r>
        <w:rPr>
          <w:rFonts w:ascii="Times New Roman" w:cs="Times New Roman" w:eastAsia="Times New Roman" w:hAnsi="Times New Roman"/>
          <w:sz w:val="18"/>
          <w:szCs w:val="18"/>
          <w:color w:val="auto"/>
        </w:rPr>
        <w:t>means the date on which Completion occurs.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Completion Value </w:t>
      </w:r>
      <w:r>
        <w:rPr>
          <w:rFonts w:ascii="Times New Roman" w:cs="Times New Roman" w:eastAsia="Times New Roman" w:hAnsi="Times New Roman"/>
          <w:sz w:val="18"/>
          <w:szCs w:val="18"/>
          <w:color w:val="auto"/>
        </w:rPr>
        <w:t>means AUD$4,177,000.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Completion Payment </w:t>
      </w:r>
      <w:r>
        <w:rPr>
          <w:rFonts w:ascii="Times New Roman" w:cs="Times New Roman" w:eastAsia="Times New Roman" w:hAnsi="Times New Roman"/>
          <w:sz w:val="18"/>
          <w:szCs w:val="18"/>
          <w:color w:val="auto"/>
        </w:rPr>
        <w:t>means an amount equal to:</w:t>
      </w:r>
    </w:p>
    <w:p>
      <w:pPr>
        <w:spacing w:after="0" w:line="229" w:lineRule="exact"/>
        <w:rPr>
          <w:sz w:val="20"/>
          <w:szCs w:val="20"/>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Value;</w:t>
      </w:r>
    </w:p>
    <w:p>
      <w:pPr>
        <w:spacing w:after="0" w:line="22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the amount by which the Estimated Working Capital is greater than the Target Working Capital (if applicable);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the amount by which the Estimated Working Capital is less than the Target Working Capital (if applicable);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the Estimated Cash,</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the Estimated Debt;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the case may be, which the parties agree is an amount equal to AUD$5,076,826.26.</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means all information, in whatever form, relating to:</w:t>
      </w:r>
    </w:p>
    <w:p>
      <w:pPr>
        <w:spacing w:after="0" w:line="229" w:lineRule="exact"/>
        <w:rPr>
          <w:sz w:val="20"/>
          <w:szCs w:val="20"/>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negotiations relating to this document;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expert determination initiated under this document;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confidential information of a party,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than information that:</w:t>
      </w:r>
    </w:p>
    <w:p>
      <w:pPr>
        <w:spacing w:after="0" w:line="225" w:lineRule="exact"/>
        <w:rPr>
          <w:sz w:val="20"/>
          <w:szCs w:val="20"/>
          <w:color w:val="auto"/>
        </w:rPr>
      </w:pPr>
    </w:p>
    <w:p>
      <w:pPr>
        <w:ind w:left="644" w:hanging="644"/>
        <w:spacing w:after="0" w:line="282"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document, was generally and publicly available, or subsequently becomes so available other than by breach of any duty or obligation;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it was disclosed to a party, was in the possession of that party lawfully and without breach of any duty or obligation; or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disclosed to a party and was not generally and publicly available at that date of disclosure, but subsequently, through no act or omission of that party (or any person to whom it disclosed that information), becomes available from another source and is not subject to any duty or obligation as to confidence.</w:t>
      </w:r>
    </w:p>
    <w:p>
      <w:pPr>
        <w:spacing w:after="0" w:line="172"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Consequential Loss </w:t>
      </w:r>
      <w:r>
        <w:rPr>
          <w:rFonts w:ascii="Times New Roman" w:cs="Times New Roman" w:eastAsia="Times New Roman" w:hAnsi="Times New Roman"/>
          <w:sz w:val="18"/>
          <w:szCs w:val="18"/>
          <w:color w:val="auto"/>
        </w:rPr>
        <w:t>means in respect of a breach of this document (including a breach of a Sellers’ Warranty), indirect or remote loss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goodwill, loss of business reputation, loss of future reputation or loss of opportunity but not:</w:t>
      </w:r>
    </w:p>
    <w:p>
      <w:pPr>
        <w:spacing w:after="0" w:line="159" w:lineRule="exact"/>
        <w:rPr>
          <w:sz w:val="20"/>
          <w:szCs w:val="20"/>
          <w:color w:val="auto"/>
        </w:rPr>
      </w:pPr>
    </w:p>
    <w:p>
      <w:pPr>
        <w:ind w:left="4924" w:right="3780" w:hanging="4924"/>
        <w:spacing w:after="0" w:line="657" w:lineRule="auto"/>
        <w:tabs>
          <w:tab w:leader="none" w:pos="6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which is direct loss of profits, direct loss of revenue or direct loss of production;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-218440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15" w:name="page16"/>
    <w:bookmarkEnd w:id="15"/>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arising naturally and in the usual course of things from the relevant event, facts or circumstances giving rise to the breach;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diminution in the value of the Sale Shares.</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w:t>
      </w:r>
      <w:r>
        <w:rPr>
          <w:rFonts w:ascii="Times New Roman" w:cs="Times New Roman" w:eastAsia="Times New Roman" w:hAnsi="Times New Roman"/>
          <w:sz w:val="18"/>
          <w:szCs w:val="18"/>
          <w:color w:val="auto"/>
        </w:rPr>
        <w:t>means any (written or unwritten) contract, agreement, arrangement or commitment entered into by the Company in relation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under which any obligation is not fully performed as at Completion.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CXAI </w:t>
      </w:r>
      <w:r>
        <w:rPr>
          <w:rFonts w:ascii="Times New Roman" w:cs="Times New Roman" w:eastAsia="Times New Roman" w:hAnsi="Times New Roman"/>
          <w:sz w:val="18"/>
          <w:szCs w:val="18"/>
          <w:color w:val="auto"/>
        </w:rPr>
        <w:t>means CXApp, Inc., a company incorporated in Delaware with its principal office located at Four Palo Alto Square, Suite 200, 3000 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Camino Real, Palo Alto, California 94306, USA.</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Data Room </w:t>
      </w:r>
      <w:r>
        <w:rPr>
          <w:rFonts w:ascii="Times New Roman" w:cs="Times New Roman" w:eastAsia="Times New Roman" w:hAnsi="Times New Roman"/>
          <w:sz w:val="18"/>
          <w:szCs w:val="18"/>
          <w:color w:val="auto"/>
        </w:rPr>
        <w:t>means the electronic data room, established by the Sellers and its representatives through Google Drive via internet link:</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https://drive.google.com/drive/folders/17DXPeEJJMULqp37wxbzD5OWZW84j9-77.</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Data Room Materials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information and materials contained in the Data Room, the index to which is set out in Annexure D of this document; and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responses provided by or on behalf of the Sellers to the Q&amp;A questions asked by or on behalf of the Buyer through the Data Room Q&amp;A process.</w:t>
      </w:r>
    </w:p>
    <w:p>
      <w:pPr>
        <w:spacing w:after="0" w:line="158"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means, without double counting any item which may be described in more than one of the paragraphs below (expressed as a negative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w:t>
      </w:r>
    </w:p>
    <w:p>
      <w:pPr>
        <w:spacing w:after="0" w:line="159" w:lineRule="exact"/>
        <w:rPr>
          <w:sz w:val="20"/>
          <w:szCs w:val="20"/>
          <w:color w:val="auto"/>
        </w:rPr>
      </w:pPr>
    </w:p>
    <w:p>
      <w:pPr>
        <w:jc w:val="both"/>
        <w:ind w:left="644" w:hanging="644"/>
        <w:spacing w:after="0" w:line="266"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owed by the Company to any bank or other external lender in respect of loans, facilities, overdrafts and credit cards (including accrued but unpaid interest on any such amount) and all fees, charges or costs incurred or payable by the Company in connection with these arrangements being paid out or discharged;</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owing by the Company to a shareholder or other Related Party or Employee of the Company immediately before Completion including all interest accrued on that indebtedness;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present value of all amounts owing by the Company under any equipment or finance lease to which the Company is party;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the Company under any acceptance credit, bill acceptance or bill endorsement facility or dematerialised equivalent;</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income amounts in relation to deposits received from a customer of the Company where the associated work has not been completed;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declared by the Company but not yet paid;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 by the Company;</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incurred and not paid by the Company (including in connection with this document and the transactions contemplated by this document);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unpaid bonuses in the normal course of business owing to the Sellers, employees and, including all unpaid Transaction Bonuses;</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16" w:name="page17"/>
    <w:bookmarkEnd w:id="16"/>
    <w:p>
      <w:pPr>
        <w:ind w:left="644" w:hanging="644"/>
        <w:spacing w:after="0"/>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accrued but untaken entitlements of the Company’s employees to annual leave in excess of four weeks;</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amount owing in relation to income or other Tax, reflecting amounts owing in respect of the period to Completion less any associated instalments paid;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accrued interest, fees, costs or other expenses incurred by the Company (including early repayment fees, break costs, swap or facility amendment fees and any other similar fees) in connection with any of the items referred to in paragraphs (a) to (j) above; and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indebtedness owing by the Company including all interest accrued on that indebtedness (excluding indebtedness incurred in the ordinary course of business in respect of trade creditors and included in the Completion Accounts),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at the Effective Time.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Deed of Novation </w:t>
      </w:r>
      <w:r>
        <w:rPr>
          <w:rFonts w:ascii="Times New Roman" w:cs="Times New Roman" w:eastAsia="Times New Roman" w:hAnsi="Times New Roman"/>
          <w:sz w:val="18"/>
          <w:szCs w:val="18"/>
          <w:color w:val="auto"/>
        </w:rPr>
        <w:t>means the deed of novation relating to Barney, Inc. dba Merge in a form acceptable to the Buyer.</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Deed of Repayment and Release </w:t>
      </w:r>
      <w:r>
        <w:rPr>
          <w:rFonts w:ascii="Times New Roman" w:cs="Times New Roman" w:eastAsia="Times New Roman" w:hAnsi="Times New Roman"/>
          <w:sz w:val="18"/>
          <w:szCs w:val="18"/>
          <w:color w:val="auto"/>
        </w:rPr>
        <w:t>means the deed of repayment and release to be entered into between the Company, the Principal and Adam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John Laurie as trustee for the Laurie Family Trust in the form attached as Annexure B.</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Deed of Termination </w:t>
      </w:r>
      <w:r>
        <w:rPr>
          <w:rFonts w:ascii="Times New Roman" w:cs="Times New Roman" w:eastAsia="Times New Roman" w:hAnsi="Times New Roman"/>
          <w:sz w:val="18"/>
          <w:szCs w:val="18"/>
          <w:color w:val="auto"/>
        </w:rPr>
        <w:t>means a deed terminating the Company’s shareholders agreement and releasing the Company from all claims 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that document.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Details </w:t>
      </w:r>
      <w:r>
        <w:rPr>
          <w:rFonts w:ascii="Times New Roman" w:cs="Times New Roman" w:eastAsia="Times New Roman" w:hAnsi="Times New Roman"/>
          <w:sz w:val="18"/>
          <w:szCs w:val="18"/>
          <w:color w:val="auto"/>
        </w:rPr>
        <w:t>means, in relation to a party, the details for that party set out on page 1 of this document.</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Disclosed </w:t>
      </w:r>
      <w:r>
        <w:rPr>
          <w:rFonts w:ascii="Times New Roman" w:cs="Times New Roman" w:eastAsia="Times New Roman" w:hAnsi="Times New Roman"/>
          <w:sz w:val="18"/>
          <w:szCs w:val="18"/>
          <w:color w:val="auto"/>
        </w:rPr>
        <w:t>means disclosed prior to the date of this document in sufficient detail so as to enable a buyer of the Sale Shares to assess the 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substance and general significance of the matter so disclosed.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Disclosure Materials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information and materials attached to or disclosed in this document;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Room Materials.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Dispute </w:t>
      </w:r>
      <w:r>
        <w:rPr>
          <w:rFonts w:ascii="Times New Roman" w:cs="Times New Roman" w:eastAsia="Times New Roman" w:hAnsi="Times New Roman"/>
          <w:sz w:val="18"/>
          <w:szCs w:val="18"/>
          <w:color w:val="auto"/>
        </w:rPr>
        <w:t>has the meaning given in clause 21(a).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Disputed Item </w:t>
      </w:r>
      <w:r>
        <w:rPr>
          <w:rFonts w:ascii="Times New Roman" w:cs="Times New Roman" w:eastAsia="Times New Roman" w:hAnsi="Times New Roman"/>
          <w:sz w:val="18"/>
          <w:szCs w:val="18"/>
          <w:color w:val="auto"/>
        </w:rPr>
        <w:t>has the meaning given in clause 6.4.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Dispute Notice </w:t>
      </w:r>
      <w:r>
        <w:rPr>
          <w:rFonts w:ascii="Times New Roman" w:cs="Times New Roman" w:eastAsia="Times New Roman" w:hAnsi="Times New Roman"/>
          <w:sz w:val="18"/>
          <w:szCs w:val="18"/>
          <w:color w:val="auto"/>
        </w:rPr>
        <w:t>has the meaning given in clause 6.4.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Draft Completion Accounts </w:t>
      </w:r>
      <w:r>
        <w:rPr>
          <w:rFonts w:ascii="Times New Roman" w:cs="Times New Roman" w:eastAsia="Times New Roman" w:hAnsi="Times New Roman"/>
          <w:sz w:val="18"/>
          <w:szCs w:val="18"/>
          <w:color w:val="auto"/>
        </w:rPr>
        <w:t>has the meaning given in clause 6.1.</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Duty </w:t>
      </w:r>
      <w:r>
        <w:rPr>
          <w:rFonts w:ascii="Times New Roman" w:cs="Times New Roman" w:eastAsia="Times New Roman" w:hAnsi="Times New Roman"/>
          <w:sz w:val="18"/>
          <w:szCs w:val="18"/>
          <w:color w:val="auto"/>
        </w:rPr>
        <w:t>means any stamp, transaction or registration duty or similar charge imposed by any Tax Law and includes any interest, fine, penalty,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amount imposed in respect of any of them but excludes any GST.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means earnings before interest, tax, depreciation and amortisation.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 xml:space="preserve">Effective Time </w:t>
      </w:r>
      <w:r>
        <w:rPr>
          <w:rFonts w:ascii="Times New Roman" w:cs="Times New Roman" w:eastAsia="Times New Roman" w:hAnsi="Times New Roman"/>
          <w:sz w:val="17"/>
          <w:szCs w:val="17"/>
          <w:color w:val="auto"/>
        </w:rPr>
        <w:t>means 11:59pm on the Completion Date or any other time and date agreed by the Buyer and the Sellers’ Representative in writing.</w:t>
      </w:r>
    </w:p>
    <w:p>
      <w:pPr>
        <w:spacing w:after="0" w:line="34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means all employees of the Company, including those engaged on a permanent, casual and part-time basis.</w:t>
      </w:r>
    </w:p>
    <w:p>
      <w:pPr>
        <w:spacing w:after="0" w:line="22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Law </w:t>
      </w:r>
      <w:r>
        <w:rPr>
          <w:rFonts w:ascii="Times New Roman" w:cs="Times New Roman" w:eastAsia="Times New Roman" w:hAnsi="Times New Roman"/>
          <w:sz w:val="18"/>
          <w:szCs w:val="18"/>
          <w:color w:val="auto"/>
        </w:rPr>
        <w:t>means all applicable Laws in the jurisdictions in which the Company operates relating to employment or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including those related to modern awards, wages, superannuation, hours, leave accrual, compensation, terms and conditions of employment, workplace health and safety, discrimination or harassment, retaliation, human rights, pay equity, notice of termination, classification of workers (including as employees versus independent contractors, or as exempt versus non-exempt employees), immigration, collective bargaining and the payment and withholding of taxes and other sums as required by the appropriate Government Agency.</w:t>
      </w:r>
    </w:p>
    <w:p>
      <w:pPr>
        <w:spacing w:after="0" w:line="179"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Encumbrance </w:t>
      </w:r>
      <w:r>
        <w:rPr>
          <w:rFonts w:ascii="Times New Roman" w:cs="Times New Roman" w:eastAsia="Times New Roman" w:hAnsi="Times New Roman"/>
          <w:sz w:val="18"/>
          <w:szCs w:val="18"/>
          <w:color w:val="auto"/>
        </w:rPr>
        <w:t>means a mortgage, charge, pledge, lien, encumbrance, security interest, title retention, preferential right, trust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right of set off, or any other security agreement or arrangement in favour of any person, whether registered or unregistered, including any Security Interest, but does not include any Permitted Encumbrance.</w:t>
      </w:r>
    </w:p>
    <w:p>
      <w:pPr>
        <w:spacing w:after="0" w:line="171"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Escrow Account </w:t>
      </w:r>
      <w:r>
        <w:rPr>
          <w:rFonts w:ascii="Times New Roman" w:cs="Times New Roman" w:eastAsia="Times New Roman" w:hAnsi="Times New Roman"/>
          <w:sz w:val="18"/>
          <w:szCs w:val="18"/>
          <w:color w:val="auto"/>
        </w:rPr>
        <w:t>means an interest bearing Australian dollar denominated bank account maintained with an Australian leading bank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the Buyer and the Sellers and opened in the name of the Escrow Agent as stakeholder for the Buyer and Sellers.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Escrow Agent </w:t>
      </w:r>
      <w:r>
        <w:rPr>
          <w:rFonts w:ascii="Times New Roman" w:cs="Times New Roman" w:eastAsia="Times New Roman" w:hAnsi="Times New Roman"/>
          <w:sz w:val="18"/>
          <w:szCs w:val="18"/>
          <w:color w:val="auto"/>
        </w:rPr>
        <w:t>means Sharrock Pitman Legal of 233 Blackburn Road, Mount Waverley, Victoria 3149.</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Escrow Amount Balance </w:t>
      </w:r>
      <w:r>
        <w:rPr>
          <w:rFonts w:ascii="Times New Roman" w:cs="Times New Roman" w:eastAsia="Times New Roman" w:hAnsi="Times New Roman"/>
          <w:sz w:val="18"/>
          <w:szCs w:val="18"/>
          <w:color w:val="auto"/>
        </w:rPr>
        <w:t>means at any given time, the Total Escrow Amount less any amounts paid out under clause 12.3 and the Escrow Deed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that time.</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Escrow Claim </w:t>
      </w:r>
      <w:r>
        <w:rPr>
          <w:rFonts w:ascii="Times New Roman" w:cs="Times New Roman" w:eastAsia="Times New Roman" w:hAnsi="Times New Roman"/>
          <w:sz w:val="18"/>
          <w:szCs w:val="18"/>
          <w:color w:val="auto"/>
        </w:rPr>
        <w:t>means any Claim by the Buyer or by or on behalf of the Buyer or the Company against a Seller or Founder Guarantor 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document.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Escrow Deed </w:t>
      </w:r>
      <w:r>
        <w:rPr>
          <w:rFonts w:ascii="Times New Roman" w:cs="Times New Roman" w:eastAsia="Times New Roman" w:hAnsi="Times New Roman"/>
          <w:sz w:val="18"/>
          <w:szCs w:val="18"/>
          <w:color w:val="auto"/>
        </w:rPr>
        <w:t>means the escrow agreement to be entered into between the Escrow Agent, the Buyer and the Sellers, in the form agreed upon by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this document.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Escrow Payment Date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First Escrow Amount – the date which is 6 months after the Completion Date;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Second Escrow Amount – the date which is 12 months after the Completion Date.</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Estimated Cash </w:t>
      </w:r>
      <w:r>
        <w:rPr>
          <w:rFonts w:ascii="Times New Roman" w:cs="Times New Roman" w:eastAsia="Times New Roman" w:hAnsi="Times New Roman"/>
          <w:sz w:val="18"/>
          <w:szCs w:val="18"/>
          <w:color w:val="auto"/>
        </w:rPr>
        <w:t>means the Sellers’ bona fide estimate of the Actual Cash as at the Effective Time, as set out in the Estimated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Estimated Completion Statement </w:t>
      </w:r>
      <w:r>
        <w:rPr>
          <w:rFonts w:ascii="Times New Roman" w:cs="Times New Roman" w:eastAsia="Times New Roman" w:hAnsi="Times New Roman"/>
          <w:sz w:val="18"/>
          <w:szCs w:val="18"/>
          <w:color w:val="auto"/>
        </w:rPr>
        <w:t>means the estimated completion statement set out in Schedule 5 (excluding the row titled “Actual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each row under that).</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Estimated Debt </w:t>
      </w:r>
      <w:r>
        <w:rPr>
          <w:rFonts w:ascii="Times New Roman" w:cs="Times New Roman" w:eastAsia="Times New Roman" w:hAnsi="Times New Roman"/>
          <w:sz w:val="18"/>
          <w:szCs w:val="18"/>
          <w:color w:val="auto"/>
        </w:rPr>
        <w:t>means the Sellers’ bona fide estimate of the Actual Debt as at the Effective Time, as set out in the Estimated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Estimated Working Capital </w:t>
      </w:r>
      <w:r>
        <w:rPr>
          <w:rFonts w:ascii="Times New Roman" w:cs="Times New Roman" w:eastAsia="Times New Roman" w:hAnsi="Times New Roman"/>
          <w:sz w:val="18"/>
          <w:szCs w:val="18"/>
          <w:color w:val="auto"/>
        </w:rPr>
        <w:t>means the Sellers’ bona fide estimate of the Actual Working Capital as at the Effective Time, as set out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Completion Statement.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Excluded Dispute </w:t>
      </w:r>
      <w:r>
        <w:rPr>
          <w:rFonts w:ascii="Times New Roman" w:cs="Times New Roman" w:eastAsia="Times New Roman" w:hAnsi="Times New Roman"/>
          <w:sz w:val="18"/>
          <w:szCs w:val="18"/>
          <w:color w:val="auto"/>
        </w:rPr>
        <w:t>means a Claim relating to or connected with any of the following:</w:t>
      </w:r>
    </w:p>
    <w:p>
      <w:pPr>
        <w:spacing w:after="0" w:line="229" w:lineRule="exact"/>
        <w:rPr>
          <w:sz w:val="20"/>
          <w:szCs w:val="20"/>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party’s obligations for Completion;</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18" w:name="page19"/>
    <w:bookmarkEnd w:id="18"/>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Accounts;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 Out Payment;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Party’s obligations under clause 16 (Restraint).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Expert </w:t>
      </w:r>
      <w:r>
        <w:rPr>
          <w:rFonts w:ascii="Times New Roman" w:cs="Times New Roman" w:eastAsia="Times New Roman" w:hAnsi="Times New Roman"/>
          <w:sz w:val="18"/>
          <w:szCs w:val="18"/>
          <w:color w:val="auto"/>
        </w:rPr>
        <w:t>has the meaning given in clause 6.4(c).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Finally Resolved</w:t>
      </w:r>
      <w:r>
        <w:rPr>
          <w:rFonts w:ascii="Times New Roman" w:cs="Times New Roman" w:eastAsia="Times New Roman" w:hAnsi="Times New Roman"/>
          <w:sz w:val="18"/>
          <w:szCs w:val="18"/>
          <w:color w:val="auto"/>
        </w:rPr>
        <w:t>, in relation to a Claim, means:</w:t>
      </w:r>
    </w:p>
    <w:p>
      <w:pPr>
        <w:spacing w:after="0" w:line="229" w:lineRule="exact"/>
        <w:rPr>
          <w:sz w:val="20"/>
          <w:szCs w:val="20"/>
          <w:color w:val="auto"/>
        </w:rPr>
      </w:pPr>
    </w:p>
    <w:p>
      <w:pPr>
        <w:ind w:left="644" w:hanging="644"/>
        <w:spacing w:after="0" w:line="282"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Claim has been brought to a final conclusion prior to commencement of legal proceedings, whether by settlement or in any other way;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7"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legal proceedings have commenced in respect of that Claim, those legal proceedings have been brought to a final conclusion whether by judgment or settlement or in any other way provided that where an appeal may be brought in relation to legal proceedings in accordance with this document, the legal proceedings will not be regarded as having been brought to a final conclusion until the later of</w:t>
      </w:r>
    </w:p>
    <w:p>
      <w:pPr>
        <w:spacing w:after="0" w:line="1" w:lineRule="exact"/>
        <w:rPr>
          <w:rFonts w:ascii="Times New Roman" w:cs="Times New Roman" w:eastAsia="Times New Roman" w:hAnsi="Times New Roman"/>
          <w:sz w:val="18"/>
          <w:szCs w:val="18"/>
          <w:color w:val="auto"/>
        </w:rPr>
      </w:pPr>
    </w:p>
    <w:p>
      <w:pPr>
        <w:jc w:val="both"/>
        <w:ind w:left="6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date on which the time limit for making appeals expires, and (B) where an appeal in respect of those legal proceedings has been brought within the relevant time limit, the date all appeals in respect of those legal proceedings have been brought to a final conclusion whether by judgment or settlement or in any other way.</w:t>
      </w:r>
    </w:p>
    <w:p>
      <w:pPr>
        <w:spacing w:after="0" w:line="18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Finally Resolved Amount </w:t>
      </w:r>
      <w:r>
        <w:rPr>
          <w:rFonts w:ascii="Times New Roman" w:cs="Times New Roman" w:eastAsia="Times New Roman" w:hAnsi="Times New Roman"/>
          <w:sz w:val="18"/>
          <w:szCs w:val="18"/>
          <w:color w:val="auto"/>
        </w:rPr>
        <w:t>means, in respect of any Claim, the amount of Loss (if any) that has been Finally Resolved as being payable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to the Buyer in respect of that Claim.</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Financial Benefit </w:t>
      </w:r>
      <w:r>
        <w:rPr>
          <w:rFonts w:ascii="Times New Roman" w:cs="Times New Roman" w:eastAsia="Times New Roman" w:hAnsi="Times New Roman"/>
          <w:sz w:val="18"/>
          <w:szCs w:val="18"/>
          <w:color w:val="auto"/>
        </w:rPr>
        <w:t>has the meaning given to that term by section 229 of the Corporations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First Escrow Amount </w:t>
      </w:r>
      <w:r>
        <w:rPr>
          <w:rFonts w:ascii="Times New Roman" w:cs="Times New Roman" w:eastAsia="Times New Roman" w:hAnsi="Times New Roman"/>
          <w:sz w:val="18"/>
          <w:szCs w:val="18"/>
          <w:color w:val="auto"/>
        </w:rPr>
        <w:t>an amount equal to 50% of the Total Escrow Amount.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Founder Guarantor </w:t>
      </w:r>
      <w:r>
        <w:rPr>
          <w:rFonts w:ascii="Times New Roman" w:cs="Times New Roman" w:eastAsia="Times New Roman" w:hAnsi="Times New Roman"/>
          <w:sz w:val="18"/>
          <w:szCs w:val="18"/>
          <w:color w:val="auto"/>
        </w:rPr>
        <w:t>means each of Adam Laurie and Roberto D’Alessandro.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Founder Seller </w:t>
      </w:r>
      <w:r>
        <w:rPr>
          <w:rFonts w:ascii="Times New Roman" w:cs="Times New Roman" w:eastAsia="Times New Roman" w:hAnsi="Times New Roman"/>
          <w:sz w:val="18"/>
          <w:szCs w:val="18"/>
          <w:color w:val="auto"/>
        </w:rPr>
        <w:t>means each of:</w:t>
      </w:r>
    </w:p>
    <w:p>
      <w:pPr>
        <w:spacing w:after="0" w:line="229" w:lineRule="exact"/>
        <w:rPr>
          <w:sz w:val="20"/>
          <w:szCs w:val="20"/>
          <w:color w:val="auto"/>
        </w:rPr>
      </w:pPr>
    </w:p>
    <w:p>
      <w:pPr>
        <w:ind w:left="644" w:hanging="644"/>
        <w:spacing w:after="0"/>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John Laurie as trustee of the Laurie Family Trust;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Ardent Bridge Investments Pty Ltd ACN 665 215 912 as trustee of the D’Alessandro Trust;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Roberto D’Alessandro and Jessica Lee Bridge as trustee of the Virtus Investment Fund.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General Indemnity </w:t>
      </w:r>
      <w:r>
        <w:rPr>
          <w:rFonts w:ascii="Times New Roman" w:cs="Times New Roman" w:eastAsia="Times New Roman" w:hAnsi="Times New Roman"/>
          <w:sz w:val="18"/>
          <w:szCs w:val="18"/>
          <w:color w:val="auto"/>
        </w:rPr>
        <w:t>means the indemnity in clause 7.5.</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Government Agency </w:t>
      </w:r>
      <w:r>
        <w:rPr>
          <w:rFonts w:ascii="Times New Roman" w:cs="Times New Roman" w:eastAsia="Times New Roman" w:hAnsi="Times New Roman"/>
          <w:sz w:val="18"/>
          <w:szCs w:val="18"/>
          <w:color w:val="auto"/>
        </w:rPr>
        <w:t>means any government or any governmental, semi-governmental, administrative, fiscal or judicial body, department,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authority, tribunal, agency or entity (including any law society or self-regulated body responsible for the regulation of any legal profession) in Australia (whether federal, state or local) or any other part of the world.</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GST Act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 New Tax System (Goods and Services Tax) Act 1999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GST </w:t>
      </w:r>
      <w:r>
        <w:rPr>
          <w:rFonts w:ascii="Times New Roman" w:cs="Times New Roman" w:eastAsia="Times New Roman" w:hAnsi="Times New Roman"/>
          <w:sz w:val="18"/>
          <w:szCs w:val="18"/>
          <w:color w:val="auto"/>
        </w:rPr>
        <w:t>has the meaning given in the GST Law.</w:t>
      </w:r>
    </w:p>
    <w:p>
      <w:pPr>
        <w:spacing w:after="0" w:line="33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19" w:name="page20"/>
    <w:bookmarkEnd w:id="19"/>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GST Law </w:t>
      </w:r>
      <w:r>
        <w:rPr>
          <w:rFonts w:ascii="Times New Roman" w:cs="Times New Roman" w:eastAsia="Times New Roman" w:hAnsi="Times New Roman"/>
          <w:sz w:val="18"/>
          <w:szCs w:val="18"/>
          <w:color w:val="auto"/>
        </w:rPr>
        <w:t>has the meaning given to that term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 New Tax System (Goods and Services Tax) Act 1999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 and any regulation made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Act.</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Immediately Available Funds </w:t>
      </w:r>
      <w:r>
        <w:rPr>
          <w:rFonts w:ascii="Times New Roman" w:cs="Times New Roman" w:eastAsia="Times New Roman" w:hAnsi="Times New Roman"/>
          <w:sz w:val="18"/>
          <w:szCs w:val="18"/>
          <w:color w:val="auto"/>
        </w:rPr>
        <w:t>means cash, direct deposit of cleared funds, or such other form of funds as agreed by the Buyer and the 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in writing.</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Indemnities </w:t>
      </w:r>
      <w:r>
        <w:rPr>
          <w:rFonts w:ascii="Times New Roman" w:cs="Times New Roman" w:eastAsia="Times New Roman" w:hAnsi="Times New Roman"/>
          <w:sz w:val="18"/>
          <w:szCs w:val="18"/>
          <w:color w:val="auto"/>
        </w:rPr>
        <w:t>means the indemnities given by the Sellers to the Buyer under this document and</w:t>
      </w:r>
      <w:r>
        <w:rPr>
          <w:rFonts w:ascii="Times New Roman" w:cs="Times New Roman" w:eastAsia="Times New Roman" w:hAnsi="Times New Roman"/>
          <w:sz w:val="18"/>
          <w:szCs w:val="18"/>
          <w:b w:val="1"/>
          <w:bCs w:val="1"/>
          <w:color w:val="auto"/>
        </w:rPr>
        <w:t xml:space="preserve"> Indemnity </w:t>
      </w:r>
      <w:r>
        <w:rPr>
          <w:rFonts w:ascii="Times New Roman" w:cs="Times New Roman" w:eastAsia="Times New Roman" w:hAnsi="Times New Roman"/>
          <w:sz w:val="18"/>
          <w:szCs w:val="18"/>
          <w:color w:val="auto"/>
        </w:rPr>
        <w:t>means any of them.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Indemnity Claim </w:t>
      </w:r>
      <w:r>
        <w:rPr>
          <w:rFonts w:ascii="Times New Roman" w:cs="Times New Roman" w:eastAsia="Times New Roman" w:hAnsi="Times New Roman"/>
          <w:sz w:val="18"/>
          <w:szCs w:val="18"/>
          <w:color w:val="auto"/>
        </w:rPr>
        <w:t>means a Claim by the Buyer under an Indemnity.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Independent Tax Reviewer </w:t>
      </w:r>
      <w:r>
        <w:rPr>
          <w:rFonts w:ascii="Times New Roman" w:cs="Times New Roman" w:eastAsia="Times New Roman" w:hAnsi="Times New Roman"/>
          <w:sz w:val="18"/>
          <w:szCs w:val="18"/>
          <w:color w:val="auto"/>
        </w:rPr>
        <w:t>has the meaning given in clause 13.1(b)(v)(B).</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Initial Period </w:t>
      </w:r>
      <w:r>
        <w:rPr>
          <w:rFonts w:ascii="Times New Roman" w:cs="Times New Roman" w:eastAsia="Times New Roman" w:hAnsi="Times New Roman"/>
          <w:sz w:val="18"/>
          <w:szCs w:val="18"/>
          <w:color w:val="auto"/>
        </w:rPr>
        <w:t>has the meaning given in clause 21(c).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Insolvency Event </w:t>
      </w:r>
      <w:r>
        <w:rPr>
          <w:rFonts w:ascii="Times New Roman" w:cs="Times New Roman" w:eastAsia="Times New Roman" w:hAnsi="Times New Roman"/>
          <w:sz w:val="18"/>
          <w:szCs w:val="18"/>
          <w:color w:val="auto"/>
        </w:rPr>
        <w:t>means, in respect of a person, the occurrence of any of the following in respect of that person (as applicable):</w:t>
      </w:r>
    </w:p>
    <w:p>
      <w:pPr>
        <w:spacing w:after="0" w:line="229" w:lineRule="exact"/>
        <w:rPr>
          <w:sz w:val="20"/>
          <w:szCs w:val="20"/>
          <w:color w:val="auto"/>
        </w:rPr>
      </w:pPr>
    </w:p>
    <w:p>
      <w:pPr>
        <w:ind w:left="644" w:hanging="644"/>
        <w:spacing w:after="0" w:line="282"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is made or an effective resolution is passed for the winding up, dissolution without winding up (otherwise than for the purposes of solvent reconstruction or amalgamation) or deregistration of that person;</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receiver and manager, judicial manager, liquidator, administrator or like official is appointed or expected to be appointed over the whole or a substantial part of the undertaking or property of that person;</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an Encumbrance takes possession of or exercises any other rights arising from the Encumbrance over the whole or any substantial part of the undertaking and property of that person, or indicates an intention to do so;</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body corporate becomes insolvent or any circumstance exists or arises which would require a court to presume that that person is insolvent;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enters into or takes any steps to enter or proposes to enter into any arrangement, compromise or assumption with or assignment for the benefit of its creditors or a class of them;</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receives a deregistration notice under section 601AB of the Corporations Act or any communication from ASIC that might lead to such notice;</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stops, suspends or threatens to stop or suspend paying its debts as and when they fall due;</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persons becomes an “insolvent under administration” within the meaning given in section 9 of the Corporations Act, or any steps are taken or any order is made to cause that person to become an insolvent under administration, as defined;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analogous event under the Laws of any applicable jurisdiction.</w:t>
      </w:r>
    </w:p>
    <w:p>
      <w:pPr>
        <w:spacing w:after="0" w:line="221"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Intellectual Property Rights </w:t>
      </w:r>
      <w:r>
        <w:rPr>
          <w:rFonts w:ascii="Times New Roman" w:cs="Times New Roman" w:eastAsia="Times New Roman" w:hAnsi="Times New Roman"/>
          <w:sz w:val="17"/>
          <w:szCs w:val="17"/>
          <w:color w:val="auto"/>
        </w:rPr>
        <w:t>means all intellectual property rights including current and future registered and unregistered rights in respect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copyright, designs, circuit layouts, trade marks, know-how, logos, confidential information, patents, inventions, trade secrets, product formulations and rights in Confidential Information, discoveries and domain names and analogous rights whether conferred by statute, common law or equity and all other intellectual property as defined in article 2 of the Convention establishing the World Intellectual Property Organisation 1967.</w:t>
      </w:r>
    </w:p>
    <w:p>
      <w:pPr>
        <w:spacing w:after="0" w:line="27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IP Assignment Deeds </w:t>
      </w:r>
      <w:r>
        <w:rPr>
          <w:rFonts w:ascii="Times New Roman" w:cs="Times New Roman" w:eastAsia="Times New Roman" w:hAnsi="Times New Roman"/>
          <w:sz w:val="18"/>
          <w:szCs w:val="18"/>
          <w:color w:val="auto"/>
        </w:rPr>
        <w:t>means the intellectual property assignment deeds to be entered into between the Company and each of:</w:t>
      </w:r>
    </w:p>
    <w:p>
      <w:pPr>
        <w:spacing w:after="0" w:line="229" w:lineRule="exact"/>
        <w:rPr>
          <w:sz w:val="20"/>
          <w:szCs w:val="20"/>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Laurie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 Allpress;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 Dalessandro.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 form acceptable to the Buyer.</w:t>
      </w:r>
    </w:p>
    <w:p>
      <w:pPr>
        <w:spacing w:after="0" w:line="22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IP Australia </w:t>
      </w:r>
      <w:r>
        <w:rPr>
          <w:rFonts w:ascii="Times New Roman" w:cs="Times New Roman" w:eastAsia="Times New Roman" w:hAnsi="Times New Roman"/>
          <w:sz w:val="18"/>
          <w:szCs w:val="18"/>
          <w:color w:val="auto"/>
        </w:rPr>
        <w:t>means the prescribed agency within the Commonwealth Department of Industry, Science and Resources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Australia’s intellectual property rights system.</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ITAA 36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 Assessment Act 1936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ITAA 97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 Assessment Act 1997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Law </w:t>
      </w:r>
      <w:r>
        <w:rPr>
          <w:rFonts w:ascii="Times New Roman" w:cs="Times New Roman" w:eastAsia="Times New Roman" w:hAnsi="Times New Roman"/>
          <w:sz w:val="18"/>
          <w:szCs w:val="18"/>
          <w:color w:val="auto"/>
        </w:rPr>
        <w:t>includes any law, regulation, authorisation, ruling, judgment, order or decree of any Government Agency and any statute,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proclamation, ordinance or by-law.</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Liability </w:t>
      </w:r>
      <w:r>
        <w:rPr>
          <w:rFonts w:ascii="Times New Roman" w:cs="Times New Roman" w:eastAsia="Times New Roman" w:hAnsi="Times New Roman"/>
          <w:sz w:val="18"/>
          <w:szCs w:val="18"/>
          <w:color w:val="auto"/>
        </w:rPr>
        <w:t>includes liabilities, duties and obligations of any nature affecting the person concerned, however arising, including penalties, fines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and including those which are prospective or contingent and those the amount of which for the time being is not ascertained or ascertainable.</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means, in relation to any person, damage, loss, cost, expense or liability (including any Tax) incurred by the person, however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contractual, tortious, legal, equitable or pursuant to statute), including those that are prospective or contingent.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Management Accounts </w:t>
      </w:r>
      <w:r>
        <w:rPr>
          <w:rFonts w:ascii="Times New Roman" w:cs="Times New Roman" w:eastAsia="Times New Roman" w:hAnsi="Times New Roman"/>
          <w:sz w:val="18"/>
          <w:szCs w:val="18"/>
          <w:color w:val="auto"/>
        </w:rPr>
        <w:t>means the unaudited balance sheets and income statements, of the Company for the period from 1 July 2023 to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2026 contained in the Data Room.</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Moral Rights </w:t>
      </w:r>
      <w:r>
        <w:rPr>
          <w:rFonts w:ascii="Times New Roman" w:cs="Times New Roman" w:eastAsia="Times New Roman" w:hAnsi="Times New Roman"/>
          <w:sz w:val="18"/>
          <w:szCs w:val="18"/>
          <w:color w:val="auto"/>
        </w:rPr>
        <w:t>means each right defined as a moral right in Part XI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Copyright Act 1968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 and any similar rights capable of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any foreign jurisdiction.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means a notice, demand, consent, approval, waiver or other communication given in accordance with clause 20.1 of this document.</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Open Source Code </w:t>
      </w:r>
      <w:r>
        <w:rPr>
          <w:rFonts w:ascii="Times New Roman" w:cs="Times New Roman" w:eastAsia="Times New Roman" w:hAnsi="Times New Roman"/>
          <w:sz w:val="18"/>
          <w:szCs w:val="18"/>
          <w:color w:val="auto"/>
        </w:rPr>
        <w:t>means any software, code, library, component, tool, or other material that is licensed under, or distributed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source software’ licence, free software licence, or other licence meeting the criteria of the open source initiative or free software foundation, or any other licence that permits access to source code, free redistribution, modification, or the creation of derivative works.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Output </w:t>
      </w:r>
      <w:r>
        <w:rPr>
          <w:rFonts w:ascii="Times New Roman" w:cs="Times New Roman" w:eastAsia="Times New Roman" w:hAnsi="Times New Roman"/>
          <w:sz w:val="18"/>
          <w:szCs w:val="18"/>
          <w:color w:val="auto"/>
        </w:rPr>
        <w:t>means data and other content (including, without limitation, recommendations) produced by an AI Solution.</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PCAOB Audit </w:t>
      </w:r>
      <w:r>
        <w:rPr>
          <w:rFonts w:ascii="Times New Roman" w:cs="Times New Roman" w:eastAsia="Times New Roman" w:hAnsi="Times New Roman"/>
          <w:sz w:val="18"/>
          <w:szCs w:val="18"/>
          <w:color w:val="auto"/>
        </w:rPr>
        <w:t>means an audit of the Company’s financials carried out in accordance with the standards set by the Public Company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Oversight Board.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Permitted Encumbrances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4884" w:right="5400" w:hanging="4884"/>
        <w:spacing w:after="0" w:line="657"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Encumbrances and Security Interests listed in Schedule 10;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-218440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21" w:name="page22"/>
    <w:bookmarkEnd w:id="21"/>
    <w:p>
      <w:pPr>
        <w:ind w:left="644" w:right="20" w:hanging="644"/>
        <w:spacing w:after="0" w:line="282"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retention of title arrangement under which title is retained by a supplier over goods supplied to the Company until payment for such goods is made provided that such arrangement has been entered into in the ordinary and usual course of business;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interest contemplated by section 12(3)(b) of the PPSA provided that such commercial consignment has been entered into in the ordinary and usual course of business;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interest contemplated by section 12(3)(c) of the PPSA provided that such PPS lease has been entered into in the ordinary and usual course of business and is not otherwise a security interest within the meaning of section 12(1) of the PPSA; and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Encumbrance that the Sellers’ Representative and the Buyer, agree in writing is a Permitted Encumbrance.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Personal Information </w:t>
      </w:r>
      <w:r>
        <w:rPr>
          <w:rFonts w:ascii="Times New Roman" w:cs="Times New Roman" w:eastAsia="Times New Roman" w:hAnsi="Times New Roman"/>
          <w:sz w:val="18"/>
          <w:szCs w:val="18"/>
          <w:color w:val="auto"/>
        </w:rPr>
        <w:t>has the meaning given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Privacy Act 1988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Plant and Equipment </w:t>
      </w:r>
      <w:r>
        <w:rPr>
          <w:rFonts w:ascii="Times New Roman" w:cs="Times New Roman" w:eastAsia="Times New Roman" w:hAnsi="Times New Roman"/>
          <w:sz w:val="18"/>
          <w:szCs w:val="18"/>
          <w:color w:val="auto"/>
        </w:rPr>
        <w:t>means the plant, equipment, IT hardware and communications systems used in the Business (whether owned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used by the Company pursuant to a rental arrangement) as at the Effective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PPSA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Personal Property Securities Act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PPSR </w:t>
      </w:r>
      <w:r>
        <w:rPr>
          <w:rFonts w:ascii="Times New Roman" w:cs="Times New Roman" w:eastAsia="Times New Roman" w:hAnsi="Times New Roman"/>
          <w:sz w:val="18"/>
          <w:szCs w:val="18"/>
          <w:color w:val="auto"/>
        </w:rPr>
        <w:t>means the Personal Property Securities Register, established under the PPSA.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Pre-Completion Tax Period </w:t>
      </w:r>
      <w:r>
        <w:rPr>
          <w:rFonts w:ascii="Times New Roman" w:cs="Times New Roman" w:eastAsia="Times New Roman" w:hAnsi="Times New Roman"/>
          <w:sz w:val="18"/>
          <w:szCs w:val="18"/>
          <w:color w:val="auto"/>
        </w:rPr>
        <w:t>has the meaning given in clause 13.1(a)(i).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18"/>
          <w:szCs w:val="18"/>
          <w:color w:val="auto"/>
        </w:rPr>
        <w:t>means Adam John Laurie of 1 Orchard Drive, Croydon, VIC, 3136.</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Loan </w:t>
      </w:r>
      <w:r>
        <w:rPr>
          <w:rFonts w:ascii="Times New Roman" w:cs="Times New Roman" w:eastAsia="Times New Roman" w:hAnsi="Times New Roman"/>
          <w:sz w:val="18"/>
          <w:szCs w:val="18"/>
          <w:color w:val="auto"/>
        </w:rPr>
        <w:t>means the loan from the Company to the Principal the outstanding balance of which, at the date of this document,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AUD$850,000 (including all accumulated interest and fees, if any).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Privacy Laws </w:t>
      </w:r>
      <w:r>
        <w:rPr>
          <w:rFonts w:ascii="Times New Roman" w:cs="Times New Roman" w:eastAsia="Times New Roman" w:hAnsi="Times New Roman"/>
          <w:sz w:val="18"/>
          <w:szCs w:val="18"/>
          <w:color w:val="auto"/>
        </w:rPr>
        <w:t>means:</w:t>
      </w:r>
    </w:p>
    <w:p>
      <w:pPr>
        <w:spacing w:after="0" w:line="227" w:lineRule="exact"/>
        <w:rPr>
          <w:sz w:val="20"/>
          <w:szCs w:val="20"/>
          <w:color w:val="auto"/>
        </w:rPr>
      </w:pPr>
    </w:p>
    <w:p>
      <w:pPr>
        <w:ind w:left="644" w:hanging="644"/>
        <w:spacing w:after="0"/>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Privacy Act 1988</w:t>
      </w:r>
      <w:r>
        <w:rPr>
          <w:rFonts w:ascii="Times New Roman" w:cs="Times New Roman" w:eastAsia="Times New Roman" w:hAnsi="Times New Roman"/>
          <w:sz w:val="18"/>
          <w:szCs w:val="18"/>
          <w:color w:val="auto"/>
        </w:rPr>
        <w:t xml:space="preserve"> (Cth);</w:t>
      </w:r>
    </w:p>
    <w:p>
      <w:pPr>
        <w:spacing w:after="0" w:line="225" w:lineRule="exact"/>
        <w:rPr>
          <w:rFonts w:ascii="Times New Roman" w:cs="Times New Roman" w:eastAsia="Times New Roman" w:hAnsi="Times New Roman"/>
          <w:sz w:val="18"/>
          <w:szCs w:val="18"/>
          <w:color w:val="auto"/>
        </w:rPr>
      </w:pPr>
    </w:p>
    <w:p>
      <w:pPr>
        <w:ind w:left="644" w:hanging="644"/>
        <w:spacing w:after="0" w:line="284"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Australian Privacy Principles contained in Schedule 1 to the </w:t>
      </w:r>
      <w:r>
        <w:rPr>
          <w:rFonts w:ascii="Times New Roman" w:cs="Times New Roman" w:eastAsia="Times New Roman" w:hAnsi="Times New Roman"/>
          <w:sz w:val="18"/>
          <w:szCs w:val="18"/>
          <w:i w:val="1"/>
          <w:iCs w:val="1"/>
          <w:color w:val="auto"/>
        </w:rPr>
        <w:t>Privacy Act 1988</w:t>
      </w:r>
      <w:r>
        <w:rPr>
          <w:rFonts w:ascii="Times New Roman" w:cs="Times New Roman" w:eastAsia="Times New Roman" w:hAnsi="Times New Roman"/>
          <w:sz w:val="18"/>
          <w:szCs w:val="18"/>
          <w:color w:val="auto"/>
        </w:rPr>
        <w:t xml:space="preserve"> (Cth) or an approved privacy code (as defined in the </w:t>
      </w:r>
      <w:r>
        <w:rPr>
          <w:rFonts w:ascii="Times New Roman" w:cs="Times New Roman" w:eastAsia="Times New Roman" w:hAnsi="Times New Roman"/>
          <w:sz w:val="18"/>
          <w:szCs w:val="18"/>
          <w:i w:val="1"/>
          <w:iCs w:val="1"/>
          <w:color w:val="auto"/>
        </w:rPr>
        <w:t xml:space="preserve">Privacy Act 1988 </w:t>
      </w:r>
      <w:r>
        <w:rPr>
          <w:rFonts w:ascii="Times New Roman" w:cs="Times New Roman" w:eastAsia="Times New Roman" w:hAnsi="Times New Roman"/>
          <w:sz w:val="18"/>
          <w:szCs w:val="18"/>
          <w:color w:val="auto"/>
        </w:rPr>
        <w:t>(Cth)) that applies to the Company and the Business; and</w:t>
      </w:r>
    </w:p>
    <w:p>
      <w:pPr>
        <w:spacing w:after="0" w:line="160"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Law in Australia or elsewhere relating to the protection of Personal Information that must be observed by the Company and the Business.</w:t>
      </w:r>
    </w:p>
    <w:p>
      <w:pPr>
        <w:spacing w:after="0" w:line="158"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Properly Made Escrow Claim </w:t>
      </w:r>
      <w:r>
        <w:rPr>
          <w:rFonts w:ascii="Times New Roman" w:cs="Times New Roman" w:eastAsia="Times New Roman" w:hAnsi="Times New Roman"/>
          <w:sz w:val="18"/>
          <w:szCs w:val="18"/>
          <w:color w:val="auto"/>
        </w:rPr>
        <w:t>means a bona fide Escrow Claim made in good faith, written notice of which has been given to the Sellers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before the Escrow Payment Date.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Proprietary AI Solution </w:t>
      </w:r>
      <w:r>
        <w:rPr>
          <w:rFonts w:ascii="Times New Roman" w:cs="Times New Roman" w:eastAsia="Times New Roman" w:hAnsi="Times New Roman"/>
          <w:sz w:val="18"/>
          <w:szCs w:val="18"/>
          <w:color w:val="auto"/>
        </w:rPr>
        <w:t>means any AI Solution that has been or is currently in the process of being developed by or on behalf of the Company.</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Proprietary Software </w:t>
      </w:r>
      <w:r>
        <w:rPr>
          <w:rFonts w:ascii="Times New Roman" w:cs="Times New Roman" w:eastAsia="Times New Roman" w:hAnsi="Times New Roman"/>
          <w:sz w:val="18"/>
          <w:szCs w:val="18"/>
          <w:color w:val="auto"/>
        </w:rPr>
        <w:t>means all computer programs designed, written or developed by or on behalf of the Company during the period of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prior to the date of this document which are necessary for the Business, including the Business Products.</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Promissory Note </w:t>
      </w:r>
      <w:r>
        <w:rPr>
          <w:rFonts w:ascii="Times New Roman" w:cs="Times New Roman" w:eastAsia="Times New Roman" w:hAnsi="Times New Roman"/>
          <w:sz w:val="18"/>
          <w:szCs w:val="18"/>
          <w:color w:val="auto"/>
        </w:rPr>
        <w:t>means the promissory note to be issued by the Buyer in favour of the Principal (in the amount of AUD$850,000)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and subsequently, immediately indorsed and delivered from the Principal to the Company, substantially in the form attached as Annexure A.</w:t>
      </w:r>
    </w:p>
    <w:p>
      <w:pPr>
        <w:spacing w:after="0" w:line="2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22" w:name="page23"/>
    <w:bookmarkEnd w:id="22"/>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Payment;</w:t>
      </w:r>
    </w:p>
    <w:p>
      <w:pPr>
        <w:spacing w:after="0" w:line="22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the Total Escrow Amount;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the Total Earn Out Consideration (if any),</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each case, as adjusted in accordance with this document (including but not limited to in accordance with clauses 3.3 and 3.5).</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Qualifying Claims </w:t>
      </w:r>
      <w:r>
        <w:rPr>
          <w:rFonts w:ascii="Times New Roman" w:cs="Times New Roman" w:eastAsia="Times New Roman" w:hAnsi="Times New Roman"/>
          <w:sz w:val="18"/>
          <w:szCs w:val="18"/>
          <w:color w:val="auto"/>
        </w:rPr>
        <w:t>has the meaning given in clause 10.5(a).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Reimbursable Expense </w:t>
      </w:r>
      <w:r>
        <w:rPr>
          <w:rFonts w:ascii="Times New Roman" w:cs="Times New Roman" w:eastAsia="Times New Roman" w:hAnsi="Times New Roman"/>
          <w:sz w:val="18"/>
          <w:szCs w:val="18"/>
          <w:color w:val="auto"/>
        </w:rPr>
        <w:t>has the meaning given in clause 19.7.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Related Body Corporate </w:t>
      </w:r>
      <w:r>
        <w:rPr>
          <w:rFonts w:ascii="Times New Roman" w:cs="Times New Roman" w:eastAsia="Times New Roman" w:hAnsi="Times New Roman"/>
          <w:sz w:val="18"/>
          <w:szCs w:val="18"/>
          <w:color w:val="auto"/>
        </w:rPr>
        <w:t>has the meaning given to that term in section 9 of the Corporations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Related Entity </w:t>
      </w:r>
      <w:r>
        <w:rPr>
          <w:rFonts w:ascii="Times New Roman" w:cs="Times New Roman" w:eastAsia="Times New Roman" w:hAnsi="Times New Roman"/>
          <w:sz w:val="18"/>
          <w:szCs w:val="18"/>
          <w:color w:val="auto"/>
        </w:rPr>
        <w:t>has the meaning given to that term in the Corporations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Related Party </w:t>
      </w:r>
      <w:r>
        <w:rPr>
          <w:rFonts w:ascii="Times New Roman" w:cs="Times New Roman" w:eastAsia="Times New Roman" w:hAnsi="Times New Roman"/>
          <w:sz w:val="18"/>
          <w:szCs w:val="18"/>
          <w:color w:val="auto"/>
        </w:rPr>
        <w:t>has the meaning given in section 228 of the Corporations Act as extended to bodies corporate generally.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Related Party Loans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owed by the Company to a Seller or any Affiliate of a Seller; and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owed by a Seller or any Affiliate of a Seller to the Company. Representative of a person means an officer, employee, contractor, professional adviser or agent of that person.</w:t>
      </w:r>
    </w:p>
    <w:p>
      <w:pPr>
        <w:spacing w:after="0" w:line="158"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Respective Proportions </w:t>
      </w:r>
      <w:r>
        <w:rPr>
          <w:rFonts w:ascii="Times New Roman" w:cs="Times New Roman" w:eastAsia="Times New Roman" w:hAnsi="Times New Roman"/>
          <w:sz w:val="18"/>
          <w:szCs w:val="18"/>
          <w:color w:val="auto"/>
        </w:rPr>
        <w:t>means, in relation to each Seller, that percentage which appears in Column 9 of the table in Schedule 1 setting 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details of the Sale Shares held by that Seller.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Restricted Areas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w:t>
      </w:r>
    </w:p>
    <w:p>
      <w:pPr>
        <w:spacing w:after="0" w:line="225" w:lineRule="exact"/>
        <w:rPr>
          <w:sz w:val="20"/>
          <w:szCs w:val="20"/>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Queensland;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South Wales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Australia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Western Australia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Tasmania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Northern Territory;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Australian Capital Territory;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Melbourne;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city in which the Business is carried on.</w:t>
      </w:r>
    </w:p>
    <w:p>
      <w:pPr>
        <w:spacing w:after="0" w:line="33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Restricted Periods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Completion Date until the date which is five years after that date;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Completion Date until the date which is four years after that date;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Completion Date until the date which is three years after that date;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Completion Date until the date which is two years after that date;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Completion Date until the date which is one year after that date;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Completion Date until the date which is six months after that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4" w:hanging="644"/>
        <w:spacing w:after="0"/>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Founder Seller;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Guarantor;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Glenn Allpress.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Restricted Affiliate </w:t>
      </w:r>
      <w:r>
        <w:rPr>
          <w:rFonts w:ascii="Times New Roman" w:cs="Times New Roman" w:eastAsia="Times New Roman" w:hAnsi="Times New Roman"/>
          <w:sz w:val="18"/>
          <w:szCs w:val="18"/>
          <w:color w:val="auto"/>
        </w:rPr>
        <w:t>means, in respect of a Restricted Party, the Affiliates of the Restricted Party which are controlled by that Restricted Party.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Sale Shares </w:t>
      </w:r>
      <w:r>
        <w:rPr>
          <w:rFonts w:ascii="Times New Roman" w:cs="Times New Roman" w:eastAsia="Times New Roman" w:hAnsi="Times New Roman"/>
          <w:sz w:val="18"/>
          <w:szCs w:val="18"/>
          <w:color w:val="auto"/>
        </w:rPr>
        <w:t>means 100% of the share capital in the Company at Completion.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Scheduled Completion Date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June 2026;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date as agreed in writing by the Buyer and Sellers.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Second Escrow Amount </w:t>
      </w:r>
      <w:r>
        <w:rPr>
          <w:rFonts w:ascii="Times New Roman" w:cs="Times New Roman" w:eastAsia="Times New Roman" w:hAnsi="Times New Roman"/>
          <w:sz w:val="18"/>
          <w:szCs w:val="18"/>
          <w:color w:val="auto"/>
        </w:rPr>
        <w:t>means an amount equal to 50% of the Total Escrow Amount.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Security Interest </w:t>
      </w:r>
      <w:r>
        <w:rPr>
          <w:rFonts w:ascii="Times New Roman" w:cs="Times New Roman" w:eastAsia="Times New Roman" w:hAnsi="Times New Roman"/>
          <w:sz w:val="18"/>
          <w:szCs w:val="18"/>
          <w:color w:val="auto"/>
        </w:rPr>
        <w:t>has the meaning given to that term in the PPSA.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Sellers </w:t>
      </w:r>
      <w:r>
        <w:rPr>
          <w:rFonts w:ascii="Times New Roman" w:cs="Times New Roman" w:eastAsia="Times New Roman" w:hAnsi="Times New Roman"/>
          <w:sz w:val="18"/>
          <w:szCs w:val="18"/>
          <w:color w:val="auto"/>
        </w:rPr>
        <w:t>means, collectively, the parties and entities set out in Column 1 of the table in Schedule 1 and</w:t>
      </w:r>
      <w:r>
        <w:rPr>
          <w:rFonts w:ascii="Times New Roman" w:cs="Times New Roman" w:eastAsia="Times New Roman" w:hAnsi="Times New Roman"/>
          <w:sz w:val="18"/>
          <w:szCs w:val="18"/>
          <w:b w:val="1"/>
          <w:bCs w:val="1"/>
          <w:color w:val="auto"/>
        </w:rPr>
        <w:t xml:space="preserve"> Seller </w:t>
      </w:r>
      <w:r>
        <w:rPr>
          <w:rFonts w:ascii="Times New Roman" w:cs="Times New Roman" w:eastAsia="Times New Roman" w:hAnsi="Times New Roman"/>
          <w:sz w:val="18"/>
          <w:szCs w:val="18"/>
          <w:color w:val="auto"/>
        </w:rPr>
        <w:t>means any one of them.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Seller Nominated Bank Account </w:t>
      </w:r>
      <w:r>
        <w:rPr>
          <w:rFonts w:ascii="Times New Roman" w:cs="Times New Roman" w:eastAsia="Times New Roman" w:hAnsi="Times New Roman"/>
          <w:sz w:val="18"/>
          <w:szCs w:val="18"/>
          <w:color w:val="auto"/>
        </w:rPr>
        <w:t>means:</w:t>
      </w:r>
    </w:p>
    <w:p>
      <w:pPr>
        <w:spacing w:after="0" w:line="225" w:lineRule="exact"/>
        <w:rPr>
          <w:sz w:val="20"/>
          <w:szCs w:val="20"/>
          <w:color w:val="auto"/>
        </w:rPr>
      </w:pPr>
    </w:p>
    <w:p>
      <w:pPr>
        <w:ind w:left="324"/>
        <w:spacing w:after="0"/>
        <w:tabs>
          <w:tab w:leader="none" w:pos="1984"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Sharrock Pitman Legal Pty Ltd Law Practice Trust Account</w:t>
      </w:r>
    </w:p>
    <w:p>
      <w:pPr>
        <w:spacing w:after="0" w:line="31" w:lineRule="exact"/>
        <w:rPr>
          <w:sz w:val="20"/>
          <w:szCs w:val="20"/>
          <w:color w:val="auto"/>
        </w:rPr>
      </w:pPr>
    </w:p>
    <w:p>
      <w:pPr>
        <w:ind w:left="324"/>
        <w:spacing w:after="0"/>
        <w:tabs>
          <w:tab w:leader="none" w:pos="1984" w:val="left"/>
        </w:tabs>
        <w:rPr>
          <w:sz w:val="20"/>
          <w:szCs w:val="20"/>
          <w:color w:val="auto"/>
        </w:rPr>
      </w:pPr>
      <w:r>
        <w:rPr>
          <w:rFonts w:ascii="Times New Roman" w:cs="Times New Roman" w:eastAsia="Times New Roman" w:hAnsi="Times New Roman"/>
          <w:sz w:val="18"/>
          <w:szCs w:val="18"/>
          <w:b w:val="1"/>
          <w:bCs w:val="1"/>
          <w:color w:val="auto"/>
        </w:rPr>
        <w:t>Bank:</w:t>
      </w:r>
      <w:r>
        <w:rPr>
          <w:sz w:val="20"/>
          <w:szCs w:val="20"/>
          <w:color w:val="auto"/>
        </w:rPr>
        <w:tab/>
      </w:r>
      <w:r>
        <w:rPr>
          <w:rFonts w:ascii="Times New Roman" w:cs="Times New Roman" w:eastAsia="Times New Roman" w:hAnsi="Times New Roman"/>
          <w:sz w:val="18"/>
          <w:szCs w:val="18"/>
          <w:color w:val="auto"/>
        </w:rPr>
        <w:t>National Australia Bank</w:t>
      </w:r>
    </w:p>
    <w:p>
      <w:pPr>
        <w:spacing w:after="0" w:line="9" w:lineRule="exact"/>
        <w:rPr>
          <w:sz w:val="20"/>
          <w:szCs w:val="20"/>
          <w:color w:val="auto"/>
        </w:rPr>
      </w:pPr>
    </w:p>
    <w:p>
      <w:pPr>
        <w:ind w:left="324"/>
        <w:spacing w:after="0"/>
        <w:tabs>
          <w:tab w:leader="none" w:pos="1984" w:val="left"/>
        </w:tabs>
        <w:rPr>
          <w:sz w:val="20"/>
          <w:szCs w:val="20"/>
          <w:color w:val="auto"/>
        </w:rPr>
      </w:pPr>
      <w:r>
        <w:rPr>
          <w:rFonts w:ascii="Times New Roman" w:cs="Times New Roman" w:eastAsia="Times New Roman" w:hAnsi="Times New Roman"/>
          <w:sz w:val="18"/>
          <w:szCs w:val="18"/>
          <w:b w:val="1"/>
          <w:bCs w:val="1"/>
          <w:color w:val="auto"/>
        </w:rPr>
        <w:t>BSB:</w:t>
      </w:r>
      <w:r>
        <w:rPr>
          <w:sz w:val="20"/>
          <w:szCs w:val="20"/>
          <w:color w:val="auto"/>
        </w:rPr>
        <w:tab/>
      </w:r>
      <w:r>
        <w:rPr>
          <w:rFonts w:ascii="Times New Roman" w:cs="Times New Roman" w:eastAsia="Times New Roman" w:hAnsi="Times New Roman"/>
          <w:sz w:val="18"/>
          <w:szCs w:val="18"/>
          <w:color w:val="auto"/>
        </w:rPr>
        <w:t>083 166</w:t>
      </w:r>
    </w:p>
    <w:p>
      <w:pPr>
        <w:spacing w:after="0" w:line="9" w:lineRule="exact"/>
        <w:rPr>
          <w:sz w:val="20"/>
          <w:szCs w:val="20"/>
          <w:color w:val="auto"/>
        </w:rPr>
      </w:pPr>
    </w:p>
    <w:p>
      <w:pPr>
        <w:ind w:left="324"/>
        <w:spacing w:after="0"/>
        <w:tabs>
          <w:tab w:leader="none" w:pos="1984" w:val="left"/>
        </w:tabs>
        <w:rPr>
          <w:sz w:val="20"/>
          <w:szCs w:val="20"/>
          <w:color w:val="auto"/>
        </w:rPr>
      </w:pPr>
      <w:r>
        <w:rPr>
          <w:rFonts w:ascii="Times New Roman" w:cs="Times New Roman" w:eastAsia="Times New Roman" w:hAnsi="Times New Roman"/>
          <w:sz w:val="18"/>
          <w:szCs w:val="18"/>
          <w:b w:val="1"/>
          <w:bCs w:val="1"/>
          <w:color w:val="auto"/>
        </w:rPr>
        <w:t>Account No.:</w:t>
      </w:r>
      <w:r>
        <w:rPr>
          <w:sz w:val="20"/>
          <w:szCs w:val="20"/>
          <w:color w:val="auto"/>
        </w:rPr>
        <w:tab/>
      </w:r>
      <w:r>
        <w:rPr>
          <w:rFonts w:ascii="Times New Roman" w:cs="Times New Roman" w:eastAsia="Times New Roman" w:hAnsi="Times New Roman"/>
          <w:sz w:val="17"/>
          <w:szCs w:val="17"/>
          <w:color w:val="auto"/>
        </w:rPr>
        <w:t>94 375 7148</w:t>
      </w:r>
    </w:p>
    <w:p>
      <w:pPr>
        <w:spacing w:after="0" w:line="203"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Sellers’ Representative </w:t>
      </w:r>
      <w:r>
        <w:rPr>
          <w:rFonts w:ascii="Times New Roman" w:cs="Times New Roman" w:eastAsia="Times New Roman" w:hAnsi="Times New Roman"/>
          <w:sz w:val="18"/>
          <w:szCs w:val="18"/>
          <w:color w:val="auto"/>
        </w:rPr>
        <w:t>means Adam Laurie or any other person nominated in writing by or on behalf of the Sellers to the Buyer as a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representative of the Sellers for the purpose of this document.</w:t>
      </w:r>
    </w:p>
    <w:p>
      <w:pPr>
        <w:spacing w:after="0" w:line="26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Sellers’ Warranties </w:t>
      </w:r>
      <w:r>
        <w:rPr>
          <w:rFonts w:ascii="Times New Roman" w:cs="Times New Roman" w:eastAsia="Times New Roman" w:hAnsi="Times New Roman"/>
          <w:sz w:val="18"/>
          <w:szCs w:val="18"/>
          <w:color w:val="auto"/>
        </w:rPr>
        <w:t>means the representations and warranties set out in Schedule 6 of this document.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an ordinary class share on issue in the Company.</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color w:val="auto"/>
        </w:rPr>
        <w:t>means all saleable inventory used or intended for use in connection with the Business which is owned by the Company (including 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components, work in progress, finished goods and including items in transit from a supplier or to a customer or on consignment with a customer).</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Straddle Period </w:t>
      </w:r>
      <w:r>
        <w:rPr>
          <w:rFonts w:ascii="Times New Roman" w:cs="Times New Roman" w:eastAsia="Times New Roman" w:hAnsi="Times New Roman"/>
          <w:sz w:val="18"/>
          <w:szCs w:val="18"/>
          <w:color w:val="auto"/>
        </w:rPr>
        <w:t>has the meaning given in clause 13.1(a)(ii).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Supplier </w:t>
      </w:r>
      <w:r>
        <w:rPr>
          <w:rFonts w:ascii="Times New Roman" w:cs="Times New Roman" w:eastAsia="Times New Roman" w:hAnsi="Times New Roman"/>
          <w:sz w:val="18"/>
          <w:szCs w:val="18"/>
          <w:color w:val="auto"/>
        </w:rPr>
        <w:t>means, for the purposes of clause 17, the entity making the supply (as defined in the GST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TAA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Taxation Administration Act 1953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Target Working Capital </w:t>
      </w:r>
      <w:r>
        <w:rPr>
          <w:rFonts w:ascii="Times New Roman" w:cs="Times New Roman" w:eastAsia="Times New Roman" w:hAnsi="Times New Roman"/>
          <w:sz w:val="18"/>
          <w:szCs w:val="18"/>
          <w:color w:val="auto"/>
        </w:rPr>
        <w:t>means AUD$757,258.87 (expressed as a negative number).</w:t>
      </w:r>
    </w:p>
    <w:p>
      <w:pPr>
        <w:spacing w:after="0" w:line="225"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includes any tax, excise, import or customs duty, levy, impost, deduction, charge, rate, compulsory loan, withholding or duty by whatever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called levied, imposed or assessed under the Law in Australia or any other jurisdiction (including, without limitation, withholding tax, profits tax, sales tax, value added tax, property tax, transfer tax, income tax, capital gains tax, tax relating to the franking of dividends and franking deficit tax, fringe benefits tax, payroll tax, group tax or PAYG tax, land tax, water and municipal rates, workers compensation insurance, superannuation guarantee, PAYG withholding, any amounts in relation to the JobKeeper Scheme), as well as any obligation to repay any tax offset, incentive, grant or stimulus, including research and development tax offsets, Duty, GST or any interest, penalty, charge, fine or fee or other amount of any kind assessed, charged or imposed on or in respect of any tax.</w:t>
      </w:r>
    </w:p>
    <w:p>
      <w:pPr>
        <w:spacing w:after="0" w:line="183"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Act </w:t>
      </w:r>
      <w:r>
        <w:rPr>
          <w:rFonts w:ascii="Times New Roman" w:cs="Times New Roman" w:eastAsia="Times New Roman" w:hAnsi="Times New Roman"/>
          <w:sz w:val="18"/>
          <w:szCs w:val="18"/>
          <w:color w:val="auto"/>
        </w:rPr>
        <w:t>means the ITAA 36, the ITAA 97, the TAA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 (Transitional Provisions) Act 1997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 as applicable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or other relevant legislation and regulations.</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Audit </w:t>
      </w:r>
      <w:r>
        <w:rPr>
          <w:rFonts w:ascii="Times New Roman" w:cs="Times New Roman" w:eastAsia="Times New Roman" w:hAnsi="Times New Roman"/>
          <w:sz w:val="18"/>
          <w:szCs w:val="18"/>
          <w:color w:val="auto"/>
        </w:rPr>
        <w:t>means, in relation to Tax, any audit, investigation, review, information request or other enquiry or any other similar or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correspondence of any kind undertaken by a Tax Authority.</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Authority </w:t>
      </w:r>
      <w:r>
        <w:rPr>
          <w:rFonts w:ascii="Times New Roman" w:cs="Times New Roman" w:eastAsia="Times New Roman" w:hAnsi="Times New Roman"/>
          <w:sz w:val="18"/>
          <w:szCs w:val="18"/>
          <w:color w:val="auto"/>
        </w:rPr>
        <w:t>includes the ATO, any state and territory revenue office, and any other Government Agency, and any person, agency or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responsibility for the administration of any Tax or Tax Law or the ability to assess or collect any Tax.</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Tax Claim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demand or assessment from a Tax Authority requiring the payment of any Tax;</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 received from a Tax Authority assessing, imposing, claiming, levying, deeming or indicating an intention to claim any Tax;</w:t>
      </w:r>
    </w:p>
    <w:p>
      <w:pPr>
        <w:spacing w:after="0" w:line="236" w:lineRule="exact"/>
        <w:rPr>
          <w:rFonts w:ascii="Times New Roman" w:cs="Times New Roman" w:eastAsia="Times New Roman" w:hAnsi="Times New Roman"/>
          <w:sz w:val="17"/>
          <w:szCs w:val="17"/>
          <w:color w:val="auto"/>
        </w:rPr>
      </w:pPr>
    </w:p>
    <w:p>
      <w:pPr>
        <w:ind w:left="644" w:hanging="644"/>
        <w:spacing w:after="0"/>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communication from a Tax Authority of a Tax Audit; or</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lodgement of any tax return, filing, schedule, notice, report or document or a request for an amendment in relation to the same under a Tax Law with respect to self- assessment of Tax.</w:t>
      </w:r>
    </w:p>
    <w:p>
      <w:pPr>
        <w:spacing w:after="0" w:line="27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Tax Claim Amount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 the Buyer or the Company is liable to pay as a result of a Tax Claim (including any fringe benefits tax liability);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credit (including franking credit), offset, rebate or refund of Tax lost as a result of a Tax Claim; or</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relief, allowance, deduction or loss carried forward of which the Buyer or the Company was deprived as a result of a Tax Claim calculated at the rate of Tax applicable to companies in the year in which the Tax Claim is made;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costs or expenses (including legal costs in accordance with any written agreement as to legal costs or, if no agreement, on a full indemnity basis) incurred by the Buyer or the Company in connection with investigating, disputing, defending or settling a Tax Claim Amount or reasonably attributable to the amounts referred to in paragraphs (a),(b) or (c) or to enforcement of the Tax Indemnity or a breach of a Tax Warranty;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Tax Indemnity </w:t>
      </w:r>
      <w:r>
        <w:rPr>
          <w:rFonts w:ascii="Times New Roman" w:cs="Times New Roman" w:eastAsia="Times New Roman" w:hAnsi="Times New Roman"/>
          <w:sz w:val="18"/>
          <w:szCs w:val="18"/>
          <w:color w:val="auto"/>
        </w:rPr>
        <w:t>means the indemnity in clause 8.</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Tax Law </w:t>
      </w:r>
      <w:r>
        <w:rPr>
          <w:rFonts w:ascii="Times New Roman" w:cs="Times New Roman" w:eastAsia="Times New Roman" w:hAnsi="Times New Roman"/>
          <w:sz w:val="18"/>
          <w:szCs w:val="18"/>
          <w:color w:val="auto"/>
        </w:rPr>
        <w:t>means any Law regarding Tax including but not limited to the Tax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Tax Liability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line="282"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or accruing in relation to any Tax or the amount of Tax payable by the Company to the extent that the Tax is referable to the Company, including as a result of a Tax Claim;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reasonable costs and expenses incurred by the Company in managing an inquiry or conducting any action to cause a Tax Claim to be withdrawn, reduced or postponed or to avoid, resist, object to, defend, appear against or compromise the Tax Claim and any judicial or administrative proceedings arising out of such action.</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Tax Period </w:t>
      </w:r>
      <w:r>
        <w:rPr>
          <w:rFonts w:ascii="Times New Roman" w:cs="Times New Roman" w:eastAsia="Times New Roman" w:hAnsi="Times New Roman"/>
          <w:sz w:val="18"/>
          <w:szCs w:val="18"/>
          <w:color w:val="auto"/>
        </w:rPr>
        <w:t>means an income year, tax year or a period of time set out under the Tax Act or the GST Act, as applicable.</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Provision </w:t>
      </w:r>
      <w:r>
        <w:rPr>
          <w:rFonts w:ascii="Times New Roman" w:cs="Times New Roman" w:eastAsia="Times New Roman" w:hAnsi="Times New Roman"/>
          <w:sz w:val="18"/>
          <w:szCs w:val="18"/>
          <w:color w:val="auto"/>
        </w:rPr>
        <w:t>means the provision for income tax that is payable but unpaid by the Company in respect of the period up to the Completion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calculated in accordance with all applicable Tax Laws, prepared on the assumption that the Completion Date is a year-end, in respect of:</w:t>
      </w:r>
    </w:p>
    <w:p>
      <w:pPr>
        <w:spacing w:after="0" w:line="159" w:lineRule="exact"/>
        <w:rPr>
          <w:sz w:val="20"/>
          <w:szCs w:val="20"/>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taxable period ending on or before the Completion Date; and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taxable period beginning before and ending after the Completion Date to the extent that corresponds to the period that ends on or before the Completion Date.</w:t>
      </w:r>
    </w:p>
    <w:p>
      <w:pPr>
        <w:spacing w:after="0" w:line="158"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Return </w:t>
      </w:r>
      <w:r>
        <w:rPr>
          <w:rFonts w:ascii="Times New Roman" w:cs="Times New Roman" w:eastAsia="Times New Roman" w:hAnsi="Times New Roman"/>
          <w:sz w:val="18"/>
          <w:szCs w:val="18"/>
          <w:color w:val="auto"/>
        </w:rPr>
        <w:t>means any return relating to Tax, including any document which must be lodged with a Tax Authority or which a taxpayer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 and retain under a Tax Law (such as an activity statement, amended return, schedule or election and any attachment).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Tax Warranty </w:t>
      </w:r>
      <w:r>
        <w:rPr>
          <w:rFonts w:ascii="Times New Roman" w:cs="Times New Roman" w:eastAsia="Times New Roman" w:hAnsi="Times New Roman"/>
          <w:sz w:val="18"/>
          <w:szCs w:val="18"/>
          <w:color w:val="auto"/>
        </w:rPr>
        <w:t>means the Sellers’ Warranties set out in Section 21 of Schedule 6.</w:t>
      </w:r>
    </w:p>
    <w:p>
      <w:pPr>
        <w:spacing w:after="0" w:line="33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Third Party </w:t>
      </w:r>
      <w:r>
        <w:rPr>
          <w:rFonts w:ascii="Times New Roman" w:cs="Times New Roman" w:eastAsia="Times New Roman" w:hAnsi="Times New Roman"/>
          <w:sz w:val="18"/>
          <w:szCs w:val="18"/>
          <w:color w:val="auto"/>
        </w:rPr>
        <w:t>means any person or entity (including a Government Agency) other than a Seller, the Buyer or the Company.</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Party Debt </w:t>
      </w:r>
      <w:r>
        <w:rPr>
          <w:rFonts w:ascii="Times New Roman" w:cs="Times New Roman" w:eastAsia="Times New Roman" w:hAnsi="Times New Roman"/>
          <w:sz w:val="18"/>
          <w:szCs w:val="18"/>
          <w:color w:val="auto"/>
        </w:rPr>
        <w:t>means any indebtedness owing by the Company to financial institutions or other third party lenders (including any accrued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unpaid fees, break costs and charges).</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Transaction Bonus </w:t>
      </w:r>
      <w:r>
        <w:rPr>
          <w:rFonts w:ascii="Times New Roman" w:cs="Times New Roman" w:eastAsia="Times New Roman" w:hAnsi="Times New Roman"/>
          <w:sz w:val="18"/>
          <w:szCs w:val="18"/>
          <w:color w:val="auto"/>
        </w:rPr>
        <w:t>means any bonus, profit share, incentive or similar amount payable by the Company to any officer, employee, contractor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of or to the Company in connection with the transactions contemplated by this document.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Total Earn Out Consideration </w:t>
      </w:r>
      <w:r>
        <w:rPr>
          <w:rFonts w:ascii="Times New Roman" w:cs="Times New Roman" w:eastAsia="Times New Roman" w:hAnsi="Times New Roman"/>
          <w:sz w:val="18"/>
          <w:szCs w:val="18"/>
          <w:color w:val="auto"/>
        </w:rPr>
        <w:t>refers to the Earn Out Payment as that term is defined in Schedule 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Total Escrow Amount </w:t>
      </w:r>
      <w:r>
        <w:rPr>
          <w:rFonts w:ascii="Times New Roman" w:cs="Times New Roman" w:eastAsia="Times New Roman" w:hAnsi="Times New Roman"/>
          <w:sz w:val="18"/>
          <w:szCs w:val="18"/>
          <w:color w:val="auto"/>
        </w:rPr>
        <w:t>means an amount equal to AUD$643,000.</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Transaction Costs </w:t>
      </w:r>
      <w:r>
        <w:rPr>
          <w:rFonts w:ascii="Times New Roman" w:cs="Times New Roman" w:eastAsia="Times New Roman" w:hAnsi="Times New Roman"/>
          <w:sz w:val="18"/>
          <w:szCs w:val="18"/>
          <w:color w:val="auto"/>
        </w:rPr>
        <w:t>means any third party adviser costs (including in respect of legal, accounting, taxation, insurance, finance or other consultancy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advisory services), fees and expenses (inclusive of any GST, net of any available input tax credits) incurred by the Company in connection with the transactions contemplated by this document.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Title &amp; Capacity Warranties </w:t>
      </w:r>
      <w:r>
        <w:rPr>
          <w:rFonts w:ascii="Times New Roman" w:cs="Times New Roman" w:eastAsia="Times New Roman" w:hAnsi="Times New Roman"/>
          <w:sz w:val="18"/>
          <w:szCs w:val="18"/>
          <w:color w:val="auto"/>
        </w:rPr>
        <w:t>means the Sellers’ Warranties set out in Part A of Schedule 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Unresolved Buyer Claim </w:t>
      </w:r>
      <w:r>
        <w:rPr>
          <w:rFonts w:ascii="Times New Roman" w:cs="Times New Roman" w:eastAsia="Times New Roman" w:hAnsi="Times New Roman"/>
          <w:sz w:val="18"/>
          <w:szCs w:val="18"/>
          <w:color w:val="auto"/>
        </w:rPr>
        <w:t>means a Properly Made Escrow Claim that, at the relevant time, has not been Finally Resolved.</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Unresolved Buyer Claim Estimate </w:t>
      </w:r>
      <w:r>
        <w:rPr>
          <w:rFonts w:ascii="Times New Roman" w:cs="Times New Roman" w:eastAsia="Times New Roman" w:hAnsi="Times New Roman"/>
          <w:sz w:val="18"/>
          <w:szCs w:val="18"/>
          <w:color w:val="auto"/>
        </w:rPr>
        <w:t>means the Buyer’s genuine good faith estimate of the amount of Loss the Buyer or the Company has suffered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 Unresolved Buyer Claim.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Warranty Claim </w:t>
      </w:r>
      <w:r>
        <w:rPr>
          <w:rFonts w:ascii="Times New Roman" w:cs="Times New Roman" w:eastAsia="Times New Roman" w:hAnsi="Times New Roman"/>
          <w:sz w:val="18"/>
          <w:szCs w:val="18"/>
          <w:color w:val="auto"/>
        </w:rPr>
        <w:t>means a claim by the Buyer for a breach of a Sellers’ Warranty or under the General Indemnity.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clause 1.2 specifies the rules for interpreting this document, except where the context makes it clear that a rule is not intended to apply.</w:t>
      </w:r>
    </w:p>
    <w:p>
      <w:pPr>
        <w:spacing w:after="0" w:line="225"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Background and headings are for convenience only and do not affect the interpretation of this document.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(including subordinate legislation) is to that legislation as amended, re enacted or replaced, and includes any subordinate legislation issued under it;</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(including this document), or a provision of a document (including a provision of this document), is to that document or provision as amended or replaced;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to this document, or a party to any other document or agreement, includes that party’s executors, administrators, permitted substitutes and permitted assigns;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any type of entity or body of persons, whether or not it is incorporated or has a separate legal identity, and any executor, administrator or successor in law of the person;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ind w:left="1304" w:hanging="656"/>
        <w:spacing w:after="0"/>
        <w:tabs>
          <w:tab w:leader="none" w:pos="13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(including a right, obligation or concept) includes each part of it;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includes real, personal and intangible property;</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body or agency, if that body or agency ceases to exist, is renamed, reconstituted, replaced or has its powers or functions removed (</w:t>
      </w:r>
      <w:r>
        <w:rPr>
          <w:rFonts w:ascii="Times New Roman" w:cs="Times New Roman" w:eastAsia="Times New Roman" w:hAnsi="Times New Roman"/>
          <w:sz w:val="18"/>
          <w:szCs w:val="18"/>
          <w:b w:val="1"/>
          <w:bCs w:val="1"/>
          <w:color w:val="auto"/>
        </w:rPr>
        <w:t>Defunct Body</w:t>
      </w:r>
      <w:r>
        <w:rPr>
          <w:rFonts w:ascii="Times New Roman" w:cs="Times New Roman" w:eastAsia="Times New Roman" w:hAnsi="Times New Roman"/>
          <w:sz w:val="18"/>
          <w:szCs w:val="18"/>
          <w:color w:val="auto"/>
        </w:rPr>
        <w:t>), means the agency or body which succeeds to the Defunct Body’s powers or functions, or performs most closely the functions of the Defunct Body;</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 A$, $A, Australian dollars or $ is to Australian currency;</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 US$ or US dollars is a reference to the currency of the United States of America;</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clause, schedule or annexure is to a clause of, or schedule or annexure to, this document.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singular word includes the plural, and vice versa.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 which suggests one gender includes any other genders.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word is defined, another part of speech or grammatical form of that word has a corresponding meaning.</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example is given of anything (including a right, obligation or concept), such as by saying it includes something else, the example does not limit the scope of that thing.</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is reckoned as follows:</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the date or time of day, is a reference to that date or that time of day in Victoria, Australia.</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period expressed in days, beginning on a given day, act or event is provided or allowed for any purpose, the period is calculated by:</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day, or the day of the act or event; and</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day on which the purpose is to be fulfilled.</w:t>
      </w:r>
    </w:p>
    <w:p>
      <w:pPr>
        <w:spacing w:after="0" w:line="22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period expressed in weeks, months or years, beginning on a given day, act or event is provided or allowed for any purpose, the period is calculated from:</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or the day of the act or event; until</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corresponding day in the next appropriate week, calendar month or year.</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corresponding day for the purposes of clause 1.2(g)(iii)(B), because of the differing number of days in calendar months, the corresponding day is taken to be the last day of the relevant calendar month.</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something is to be done on a particular day, it must be done by 5.00pm on that day.</w:t>
      </w:r>
    </w:p>
    <w:p>
      <w:pPr>
        <w:spacing w:after="0" w:line="33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28" w:name="page29"/>
    <w:bookmarkEnd w:id="28"/>
    <w:p>
      <w:pPr>
        <w:ind w:left="1960" w:hanging="656"/>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something is to be done on a day which is not a Business Day then that thing must be done on the next Business Day.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defined in the GST Law have the same meaning in this document unless the context makes it clear that a different meaning is intended.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Payments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Unless otherwise agreed between the Sellers’ Representative and the Buyer in writing, all payments under this document must be paid in Immediately Available Funds.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Basis of liability of the Sellers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1.4(c) where a covenant, undertaking, warranty, indemnity or other obligation is given or assumed by more than one Seller under or in connection with this document, the covenant, undertaking, warranty, indemnity or other obligation is given or assumed by those Sellers jointly and severally, as set out in this document.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obligation or liability under this document is expressed to be that of a particular Seller, then: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obligation or liability, such as a liability for a Title &amp; Capacity Warranty given by that Seller only, is imposed on that Seller only and not on any other Seller;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that Seller is liable for all Loss arising from breach of that obligation or that liability.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Title &amp; Capacity Warranty is given by each Seller severally.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Knowledge and awareness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Where a Sellers’ Warranty is qualified by the expression “as far as the Sellers are aware” or “as far as the Founder Sellers are aware”, or any similar expression referring to the Sellers’ or the Founder Sellers’ awareness, knowledge or belief, the Buyer acknowledges and agrees that the relevant Sellers’ awareness, knowledge and belief is limited to those facts, matters or circumstances within the actual knowledge of each Founder Guarantor and/or any Seller’s employees, contractors, directors, and executives as at the date of this document or ought reasonably to have been known by him or her had they have made reasonable enquiries in the circumstances.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Sellers’ Representative</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irrevocably appoints the Sellers’ Representative to act as its representative in respect of those provisions in this document that are expressed to require the involvement of the Sellers’ Representative and each Seller irrevocably appoints the Sellers’ Representative to act on its behalf to:</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notice or document from the Buyer;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document or notice to the Buyer;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disputed matters in relation to Claims;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any documents, agreements and deeds (including, without limitation, share transfers in respect of the Sale Shares) in respect of the transactions the subject of this document.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ind w:left="130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Sellers’ Representative takes any action which the Sellers are collectively required or entitled to take under this document, all of the Sellers will be deemed to have taken such action collectively and each Seller will be bound by such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will be entitled to rely on any notice or other document given as contemplated under clause 1.6(a) and actions taken as contemplated by clause 1.6(b) without making any inquiry or investigation.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Representative is not liable to any other Seller for any act or omission by it in connection with the exercise of the authority conferred on it under this document, except in the case of fraud or dishonesty.</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SALE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Sale and purchase of Sale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Completion, each Seller must sell, and the Buyer must buy, the Sale Shares set out opposite its name in Column 8 of the table in Schedule 1:</w:t>
      </w:r>
    </w:p>
    <w:p>
      <w:pPr>
        <w:spacing w:after="0" w:line="22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from Encumbrances;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that Sellers’ Respective Proportion of the Purchase Price;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on the terms of this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Transfer of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Sale Shares must be transferred to the Buyer on Completion with all rights which are, at Completion, attached or accruing to them.</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Title and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and beneficial ownership of and risk in the Sale Shares:</w:t>
      </w:r>
    </w:p>
    <w:p>
      <w:pPr>
        <w:spacing w:after="0" w:line="225"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solely with the relevant Seller until Completion;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document, passes to the Buyer on Completion.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Waiver of pre-emptive rights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Seller jointly and severally waives all rights of pre-emption, the right to be issued with any notice, and all other restrictions on transfers over the relevant Sale Shares conferred on it under the Company’s shareholders agreement, any other agreement or otherwise.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All of the Sale Shares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Buyer will not be obliged to complete the sale and purchase of any of the Sale Shares unless all of the Sale Shares are delivered at Completion in accordance with this document.</w:t>
      </w:r>
    </w:p>
    <w:p>
      <w:pPr>
        <w:spacing w:after="0" w:line="158"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consideration payable for the Sale Shares is the Purchase Price.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Payment of Purchase Price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Buyer must satisfy its obligation to pay the Purchase Price to, or on behalf of, the Sellers as follows:</w:t>
      </w:r>
    </w:p>
    <w:p>
      <w:pPr>
        <w:spacing w:after="0" w:line="225" w:lineRule="exact"/>
        <w:rPr>
          <w:sz w:val="20"/>
          <w:szCs w:val="20"/>
          <w:color w:val="auto"/>
        </w:rPr>
      </w:pPr>
    </w:p>
    <w:p>
      <w:pPr>
        <w:ind w:left="1300" w:right="2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the Completion Payment (less the face value of the Promissory Note) to the Seller Nominated Bank Account on the Completion Date in accordance with clause 4.3(a);</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the Total Escrow Amount to the Escrow Agent on Completion in accordance with clause 12;</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issuing the Promissory Note in favour of the Principal in accordance with clause 4.3(c);</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the Total Earn Out Consideration (if any) to the Seller Nominated Bank Account subject to and in accordance with Schedule 4;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any Adjustment Amount in accordance with clause 3.5.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Allocation of the Purchase Price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signing this document, each Seller irrevocably and unconditionally:</w:t>
      </w:r>
    </w:p>
    <w:p>
      <w:pPr>
        <w:spacing w:after="0" w:line="22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in favour of the Buyer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between themselves agreed the manner in which the Purchase Price is to be allocated as between the Sellers having regard to their Respective Proportions;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Buyer nor any other Buyer Group Company or any of their representatives will have any liability or obligation to any Seller or any other person, in any respect whatsoever regarding or in connection with the allocation of the Purchase Price as between Sellers or otherwise;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the Buyer of any funds to the Seller Nominated Bank Account when due by this document will constitute a full satisfaction and discharge of the Buyer’s obligations to make payment to the Sellers under this document;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releases and forever discharges each Buyer Group Company and their representatives to the maximum extent permitted by law from any and all Liability on any account and all actions, Claims, demands, proceedings or causes of action (whether arising in contract, tort, under common law or statute, indemnity or otherwise) whatsoever in respect of the allocation of the Purchase Price (or any other payments under this document) as between Sellers and the distribution of the Purchase Price (or any other payments under this document) from the Seller Nominated Bank Account.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Adjustments to Purchase Price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Purchase Price will be subject to the following adjustments once the Actual Working Capital, Actual Cash and Actual Debt of the Company has been determined in accordance with clause 6:</w:t>
      </w:r>
    </w:p>
    <w:p>
      <w:pPr>
        <w:spacing w:after="0" w:line="162"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Actual Working Capital: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Working Capital is greater than the Estimated Working Capital, the Purchase Price will be increased by the amount by which the Actual Working Capital exceeds that amount;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Working Capital is less than the Estimated Working Capital, the Purchase Price will be decreased by the amount by which the Actual Working Capital is less than that amount;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Working Capital is equal to the Estimated Working Capital then the Purchase Price will not be adjusted under this clause 3.4(a);</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Actual Cash:</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Cash is greater than the Estimated Cash, then the Purchase Price will be increased by the amount by which the Actual Cash is greater than the Estimated Cash;</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Cash is less than the Estimated Cash, then the Purchase Price will be decreased by the amount by which the Actual Cash is less than the Estimated Cash;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Cash is equal to the Estimated Cash, then the Purchase Price will not be adjusted under this clause 3.4(b);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Actual Debt:</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Debt (when expressed as a positive number) is greater than the Estimated Debt (when expressed as a positive number), then the Purchase Price will be decreased by the amount by which the Actual Debt is greater than Estimated Debt;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Debt (when expressed as a positive number) is less than the Estimated Debt (when expressed as a positive number), then the Purchase Price will be increased by the amount by which the Actual Debt is less than the Estimated Debt;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Debt is equal to the Estimated Debt, then the Purchase Price will not be adjusted under this clause 3.4(c).</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Payment of Adjustment Amount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Adjustment Payment Date, if the Purchase Price as adjusted under clause 3.2(b) is:</w:t>
      </w:r>
    </w:p>
    <w:p>
      <w:pPr>
        <w:spacing w:after="0" w:line="22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the Sellers must pay the amount of that decrease to the Buyer in cash; or</w:t>
      </w:r>
    </w:p>
    <w:p>
      <w:pPr>
        <w:spacing w:after="0" w:line="225" w:lineRule="exact"/>
        <w:rPr>
          <w:rFonts w:ascii="Times New Roman" w:cs="Times New Roman" w:eastAsia="Times New Roman" w:hAnsi="Times New Roman"/>
          <w:sz w:val="18"/>
          <w:szCs w:val="18"/>
          <w:color w:val="auto"/>
        </w:rPr>
      </w:pPr>
    </w:p>
    <w:p>
      <w:pPr>
        <w:ind w:left="660" w:right="1800" w:hanging="4"/>
        <w:spacing w:after="0" w:line="532" w:lineRule="auto"/>
        <w:tabs>
          <w:tab w:leader="none" w:pos="13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the Buyer must pay the amount of that increase to the Sellers (in their Respective Proportions) in cash, such amount payable by the Sellers to the Buyer, or by the Buyer to the Sellers, being the </w:t>
      </w:r>
      <w:r>
        <w:rPr>
          <w:rFonts w:ascii="Times New Roman" w:cs="Times New Roman" w:eastAsia="Times New Roman" w:hAnsi="Times New Roman"/>
          <w:sz w:val="18"/>
          <w:szCs w:val="18"/>
          <w:b w:val="1"/>
          <w:bCs w:val="1"/>
          <w:color w:val="auto"/>
        </w:rPr>
        <w:t>Adjustment Amount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Adjustments for certain payments</w:t>
      </w:r>
    </w:p>
    <w:p>
      <w:pPr>
        <w:spacing w:after="0" w:line="229" w:lineRule="exact"/>
        <w:rPr>
          <w:sz w:val="20"/>
          <w:szCs w:val="20"/>
          <w:color w:val="auto"/>
        </w:rPr>
      </w:pPr>
    </w:p>
    <w:p>
      <w:pPr>
        <w:ind w:left="1300" w:hanging="644"/>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Sellers to the Buyer under this document (including in connection with a Warranty Claim) will be a reduction and refund of part of the Purchase Price.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Buyer to the Sellers under this document will be an increase in the Purchase Price.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Buyer’s right to withhold and set-off</w:t>
      </w:r>
    </w:p>
    <w:p>
      <w:pPr>
        <w:spacing w:after="0" w:line="229" w:lineRule="exact"/>
        <w:rPr>
          <w:sz w:val="20"/>
          <w:szCs w:val="20"/>
          <w:color w:val="auto"/>
        </w:rPr>
      </w:pPr>
    </w:p>
    <w:p>
      <w:pPr>
        <w:ind w:left="1300" w:hanging="644"/>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has made a bona fide Claim or Claims against a Seller arising under this document, but as at the date that the Buyer would otherwise be required to pay any Adjustment Amount or any Total Earn Out Consideration such Claims have either: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been Finally Resolved;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Finally Resolved but the Seller has not at that date paid all or any amounts owing to the Buyer pursuant to the relevant Claims;</w:t>
      </w:r>
    </w:p>
    <w:p>
      <w:pPr>
        <w:spacing w:after="0" w:line="158"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Relevant Claim</w:t>
      </w:r>
      <w:r>
        <w:rPr>
          <w:rFonts w:ascii="Times New Roman" w:cs="Times New Roman" w:eastAsia="Times New Roman" w:hAnsi="Times New Roman"/>
          <w:sz w:val="18"/>
          <w:szCs w:val="18"/>
          <w:color w:val="auto"/>
        </w:rPr>
        <w:t>) then the Buyer may withhold from payment to the Seller an amount of the Adjustment Amount or Total Earn Out Consideration (as applicable) not exceeding the amount of any such Relevant Claims.</w:t>
      </w:r>
    </w:p>
    <w:p>
      <w:pPr>
        <w:spacing w:after="0" w:line="159" w:lineRule="exact"/>
        <w:rPr>
          <w:sz w:val="20"/>
          <w:szCs w:val="20"/>
          <w:color w:val="auto"/>
        </w:rPr>
      </w:pPr>
    </w:p>
    <w:p>
      <w:pPr>
        <w:jc w:val="both"/>
        <w:ind w:left="1300" w:hanging="644"/>
        <w:spacing w:after="0" w:line="261"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amount of the Adjustment Amount or Total Earn Out Consideration is withheld by the Buyer pursuant to clause 3.7(a) in relation to a Relevant Claim, then, to the extent that the Claim is Finally Resolved so that an amount is payable by the Seller to the Buyer in respect of that Claim, the amount payable to the Buyer pursuant to that Finally Resolved Claim, will be off-set against the Buyer’s obligation to pay the relevant amount of the Adjustment Amount or Total Earn Out Consideration (as applicable) to the Seller.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set-off in accordance with clause 3.7(b) shall be in full and final satisfaction of the applicable Seller’s obligation to pay the relevant amount of the Relevant Claim to the Buyer, and the Buyer’s obligation to pay an equal amount of the Adjustment Amount or Total Earn Out Consideration (as applicable) to the Seller in accordance with this document;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shall relieve the Seller from any obligation to pay the Buyer the amount of any Finally Resolved Claim which exceeds the amount set off in accordance with clause 3.7(b).</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Date, time and place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Completion must take place at 10:00am AEST on the Scheduled Completion Date at the offices of Sharrock Pitman Legal (233 Blackburn Rd, Mount Waverley VIC 3149), or such other time and place as the Sellers’ Representative and the Buyer agree in writing. The parties agree that attendance in person at the location for Completion is not required and that the parties will conduct Completion via video link or electronic means and each party shall agree to all reasonable requirements (including escrow arrangements relating to documents) in order to facilitate the provision of electronic copies of documents required to be delivered at Completion, and must take all reasonable steps to ensure that originals of such documents are provided to the relevant recipient as soon as reasonably practicable following Completion (if required).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Actions by the Sellers</w:t>
      </w:r>
    </w:p>
    <w:p>
      <w:pPr>
        <w:spacing w:after="0" w:line="229"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Completion, the Sellers must confer on the Buyer good and clear title to the Sale Shares and must: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Buyer each of the deliverables contemplated in Part A of Schedule 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all other acts and execute all documents necessary to:</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Sale Shares;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any other transaction contemplated by this document.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 Principal’s obligation to pay the Principal Loan to the Company shall be satisfied on Completion by the Principal duly executing and indorsing the Promissory Note in favour of the Company on Completion in accordance with item 12 of Part A of Schedule 3.</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Actions by the Buyer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Completion, the Buyer must:</w:t>
      </w:r>
    </w:p>
    <w:p>
      <w:pPr>
        <w:spacing w:after="0" w:line="225"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Completion Payment (less the face value of the Promissory Note) to the Sellers in accordance with clause 3.2(a);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Total Escrow Amount to the Escrow Agent in accordance with clause 12;</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Promissory Note in favour of the Principal;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Sellers each of the deliverables contemplated in Part B of Schedule 3.</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Company Board Meeting</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Prior to Completion, the Sellers must procure that a meeting of the directors of the Company is held at which the following resolutions are passed subject to and with effect from Completion:</w:t>
      </w:r>
    </w:p>
    <w:p>
      <w:pPr>
        <w:spacing w:after="0" w:line="162"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ratifying the Company’s entry into this document;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the Sale Shares to the Buyer and the transaction contemplated by this document;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Buyer as a member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registering the transfer of the Sale Shares in the Company and directing that the name of the Buyer be entered in the members register of the Company upon production of the transfer document duly executed by the Sellers;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the existing certificates in respect of the Sale Shares in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 new certificate for the Sale Shares in the Company in the name of the Buyer;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execution of all documents required to be delivered by the Sellers on Completion and to which the Company is a party;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appointment of each person named in Columns 1, 2 and 3 of the table in Schedule 8 as a director, secretary or public officer (as applicable) of the Company in each case provided that a consent to act signed by that person has been delivered to the Company;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the resignation of each person named in Columns 4, 5 and 6 of the table in Schedule 8 as a director, secretary or public officer (as applicable) of the Company in each case provided that a resignation signed by that person has been delivered to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signatories of any bank accounts maintained by the Company to be those persons notified by the Buyer before Completion;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all existing powers of attorney or other authorities granted by the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Interdependence of obligations</w:t>
      </w:r>
    </w:p>
    <w:p>
      <w:pPr>
        <w:spacing w:after="0" w:line="229" w:lineRule="exact"/>
        <w:rPr>
          <w:sz w:val="20"/>
          <w:szCs w:val="20"/>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parties in respect of Completion are interdependent.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at Completion will be deemed to take place simultaneously and no delivery or payment at Completion will be deemed to have been made until all such deliveries and payments have been made.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or the Sellers’ Representative may waive any obligation required to be satisfied by the other party (which means satisfaction by any individual Seller or some or all of the Sellers in the case of a waiver by the Buyer, at the election of the Buyer) on Completion and require Completion to occur notwithstanding that the obligation remains unsatisfied, in which case the obligation becomes and remains a matter which the relevant responsible party is obliged to satisfy as soon as practicable after Completion (unless the parties agree otherwise).</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POST-COMPLETION OBLIGATIONS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ASIC Notifications after Completion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lodge all notifications required to be lodged with ASIC and any other Government Agency in connection with this document and the transactions contemplated by it as soon as practicable after Completion, and in any event within the period required by Law and in the prescribed form (if any).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and the Buyer must provide such assistance to the Company as it may reasonably require in connection with the completion of such notifications.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Wrong pockets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Seller becomes aware that the legal title to, or the beneficial interest in, any asset (other than a leased asset) used by the Company in the Business immediately before Completion remains vested after Completion in any Seller, any Affiliate of a Seller or any Third Party (</w:t>
      </w:r>
      <w:r>
        <w:rPr>
          <w:rFonts w:ascii="Times New Roman" w:cs="Times New Roman" w:eastAsia="Times New Roman" w:hAnsi="Times New Roman"/>
          <w:sz w:val="18"/>
          <w:szCs w:val="18"/>
          <w:b w:val="1"/>
          <w:bCs w:val="1"/>
          <w:color w:val="auto"/>
        </w:rPr>
        <w:t>Buyer Missing Asset</w:t>
      </w:r>
      <w:r>
        <w:rPr>
          <w:rFonts w:ascii="Times New Roman" w:cs="Times New Roman" w:eastAsia="Times New Roman" w:hAnsi="Times New Roman"/>
          <w:sz w:val="18"/>
          <w:szCs w:val="18"/>
          <w:color w:val="auto"/>
        </w:rPr>
        <w:t>), then the Sellers must, as soon as practicable and on such terms that no additional consideration is provided by any person including the Buyer: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ind w:left="1960" w:hanging="656"/>
        <w:spacing w:after="0" w:line="282" w:lineRule="auto"/>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any deed or document as may be necessary for the purpose of transferring (free of any Encumbrance other than any Permitted Encumbrances) all right, title and interest in the Buyer Missing Asset to the Buyer, its nominee, or the Company;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execute and deliver any document and do all things reasonably necessary to record the assignment of the Buyer Missing Asset in the name of the Buyer, its nominee, or the Company on all relevant registers and pay all costs relating to any such recording;</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procure the assignment of any Buyer Missing Assets from any Third Party to the Buyer, its nominee, or the Company on terms reasonably acceptable to the Buyer and pay any costs and fees relating to any such assignments, including relating to the negotiation of such assignments;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or procure to be done, any other acts or thing and procure the execution of any other document or any registration necessary to vest all rights, title and interests in any Buyer Missing Asset in the Buyer, its nominee, or the Company, including by exercising their powers as shareholders, directors, beneficiaries or trustees and paying any costs and fees relating to any such acts or things, including relating to their negotiation.</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Representative must notify the Buyer immediately if it comes to any Seller’s attention that there are any Buyer Missing Assets in the possession or control of any Seller, Affiliate of a Seller or Third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Transfer of domain names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soon as practicable after Completion the Sellers must ensure that any domain name referred to Table C in Schedule 9 which is not registered in the name of the Company at Completion is so registered.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Register of members</w:t>
      </w:r>
    </w:p>
    <w:p>
      <w:pPr>
        <w:spacing w:after="0" w:line="229" w:lineRule="exact"/>
        <w:rPr>
          <w:sz w:val="20"/>
          <w:szCs w:val="20"/>
          <w:color w:val="auto"/>
        </w:rPr>
      </w:pPr>
    </w:p>
    <w:p>
      <w:pPr>
        <w:ind w:left="13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weeks of the Completion Date, the Sellers must deliver to the Buyer a fully reconstituted register of members which is compliant with the Corporations Act.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associated with complying with their obligation under clause 5.4(a), including the cost of the reconstitution of the register of members and the rectification of any related historical issues, will be borne solely by the Sellers.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Power of attorney</w:t>
      </w:r>
    </w:p>
    <w:p>
      <w:pPr>
        <w:spacing w:after="0" w:line="229"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appoint the Buyer to be their attorney from the Completion Date until the Sale Shares are registered in the name of the Buyer.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power of attorney, the Buyer may, in the name of the Sellers and on their behalf, do everything necessary or desirable, in the Buyer’s sole discretion, to:</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Sale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including rights to appoint a proxy or representative and voting rights, attaching to the Sale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dividend or other entitlement paid or credited to the Sellers in respect of the Sale Shares;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any other act or thing in respect of the Sale Shares.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both"/>
        <w:ind w:left="1300" w:hanging="644"/>
        <w:spacing w:after="0" w:line="266"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declare that all acts and things done by the Buyer in exercising powers under this power of attorney will be as good and valid as if they had been done by the Sellers and agree to ratify and confirm whatever the Buyer does in exercising power under this power of attorney.</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ACCOUNTS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Preparation and delivery of Completion Accounts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Buyer must prepare and deliver to the Sellers’ Representative no later than 60 Business Days after Completion a draft of a balance sheet of the Company as at Completion (</w:t>
      </w:r>
      <w:r>
        <w:rPr>
          <w:rFonts w:ascii="Times New Roman" w:cs="Times New Roman" w:eastAsia="Times New Roman" w:hAnsi="Times New Roman"/>
          <w:sz w:val="18"/>
          <w:szCs w:val="18"/>
          <w:b w:val="1"/>
          <w:bCs w:val="1"/>
          <w:color w:val="auto"/>
        </w:rPr>
        <w:t>Draft Completion Accounts</w:t>
      </w:r>
      <w:r>
        <w:rPr>
          <w:rFonts w:ascii="Times New Roman" w:cs="Times New Roman" w:eastAsia="Times New Roman" w:hAnsi="Times New Roman"/>
          <w:sz w:val="18"/>
          <w:szCs w:val="18"/>
          <w:color w:val="auto"/>
        </w:rPr>
        <w:t>) in the form and including the items specified in Part D of Schedule 5 and prepared in accordance with principles and policies set out in Part A to Part C of Schedule 5.</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Assistance from the Sellers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Sellers must, from the Completion Date until the Completion Accounts have been agreed or finalised in accordance with this clause 6, provide all assistance reasonably required to the Buyer to enable it to comply with the provisions of clause 6.1.</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Response to Draft Completion Accounts</w:t>
      </w:r>
    </w:p>
    <w:p>
      <w:pPr>
        <w:spacing w:after="0" w:line="229" w:lineRule="exact"/>
        <w:rPr>
          <w:sz w:val="20"/>
          <w:szCs w:val="20"/>
          <w:color w:val="auto"/>
        </w:rPr>
      </w:pPr>
    </w:p>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Representative must within 15 Business Days after the date on which they receive the Draft Completion Accounts give notice to the Buyer either: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they agree with the Draft Completion Accounts;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they do not agree with the Draft Completion Accounts and specifying:</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in the Draft Completion Accounts that they dispute;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grounds on which they dispute each such item;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adjustment to each item which they dispute.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Representative gives notice under clause 6.3(a)(i) that they agree with the Draft Completion Accounts;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conclusion of the 15 Business Day period referred to in this clause 6.3 the Sellers’ Representative does not give to the Buyer a notice complying with either clause 6.3(a)(i) or 6.3(a)(ii),</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then the Draft Completion Accounts will constitute the Completion Accounts for the purposes of this document.</w:t>
      </w:r>
    </w:p>
    <w:p>
      <w:pPr>
        <w:spacing w:after="0" w:line="225"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must: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Sellers’ Representative access to such books and records as are directly relevant to the Draft Completion Accounts for the sole purpose of reviewing the Draft Completion Accounts;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any reasonable queries that the Sellers’ Representative may have in relation to the Draft Completion Accounts.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Resolution of disputes and finalisation of Completion Accounts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within the 15 Business Day period referred to in clause 6.3, the Sellers’ Representative gives notice under clause 6.3(a)(ii)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that they dispute any item in the Draft Completion Accounts (each a </w:t>
      </w:r>
      <w:r>
        <w:rPr>
          <w:rFonts w:ascii="Times New Roman" w:cs="Times New Roman" w:eastAsia="Times New Roman" w:hAnsi="Times New Roman"/>
          <w:sz w:val="18"/>
          <w:szCs w:val="18"/>
          <w:b w:val="1"/>
          <w:bCs w:val="1"/>
          <w:color w:val="auto"/>
        </w:rPr>
        <w:t>Disputed Item</w:t>
      </w:r>
      <w:r>
        <w:rPr>
          <w:rFonts w:ascii="Times New Roman" w:cs="Times New Roman" w:eastAsia="Times New Roman" w:hAnsi="Times New Roman"/>
          <w:sz w:val="18"/>
          <w:szCs w:val="18"/>
          <w:color w:val="auto"/>
        </w:rPr>
        <w:t>) then:</w:t>
      </w:r>
    </w:p>
    <w:p>
      <w:pPr>
        <w:spacing w:after="0" w:line="207"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Completion Accounts are final and conclusive of all matters specified in it which are not specified in the Dispute Notice;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 the Sellers’ Representative must confer and use all reasonable endeavours to resolve each Disputed Item within 10 Business Days after the Dispute Notice is given to the Buyer;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Disputed Item is not resolved between the Buyer and the Sellers’ Representative within the 10 Business Day period referred to in clause 6.4(b) then the Disputed Items must be referred to a firm of accountants agreed by the Buyer and the Sellers’ Representative in writing or, failing such agreement within 5 Business Days, appointed by the Resolution Institute, Brisbane Branch (</w:t>
      </w:r>
      <w:r>
        <w:rPr>
          <w:rFonts w:ascii="Times New Roman" w:cs="Times New Roman" w:eastAsia="Times New Roman" w:hAnsi="Times New Roman"/>
          <w:sz w:val="18"/>
          <w:szCs w:val="18"/>
          <w:b w:val="1"/>
          <w:bCs w:val="1"/>
          <w:color w:val="auto"/>
        </w:rPr>
        <w:t>Expert</w:t>
      </w:r>
      <w:r>
        <w:rPr>
          <w:rFonts w:ascii="Times New Roman" w:cs="Times New Roman" w:eastAsia="Times New Roman" w:hAnsi="Times New Roman"/>
          <w:sz w:val="18"/>
          <w:szCs w:val="18"/>
          <w:color w:val="auto"/>
        </w:rPr>
        <w:t>) for resolution in accordance with clause 6.5;</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Completion Accounts must be adjusted to reflect the resolution of all Disputed Items resolved in accordance with clause 6.4(b) and the determination of all Disputed Items determined in accordance with clause 6.4(c) and clause 6.5;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Completion Accounts as adjusted under clause 6.4(d) will constitute the Completion Accounts for the purposes of this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Determination by the Expert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Buyer and the Sellers’ Representative must procure that the Expert determines the Disputed Items referred to the Expert under clause 6.4(c) in accordance with the following provisions:</w:t>
      </w:r>
    </w:p>
    <w:p>
      <w:pPr>
        <w:spacing w:after="0" w:line="162"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 the Sellers’ Representative must instruct the Expert to:</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the Disputed Items in accordance with the terms of this document and within the shortest possible time and preferably within 20 Business Days after the Disputed Items are referred to the Expert;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report to the Buyer and the Sellers’ Representative stating the determination of the Expert in relation to each Disputed Item referred to the Expert;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Expert must decide the procedure to be followed to determine the Disputed Items referred to the Expert;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 the Sellers’ Representative must provide the Expert with any information and assistance reasonably required by the Expert to determine the Disputed Items referred to the Expert;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correspondence between a party and the Expert must be in writing and copied to the Buyer and the Sellers’ Representative;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Expert acts as an independent expert and not as an arbitrator and the decision of the Expert is final and binding on the parties in the absence of manifest error;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Expert will be borne 50% by the Buyer and 50% by the Sellers (collectively).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Completion Accounts to state Actual Working Capital, Actual Cash and Actual Debt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purposes of this document, the final Completion Accounts (whether agreed or determined by an Expert) must state the Actual Working Capital, Actual Cash and Actual Debt.</w:t>
      </w:r>
    </w:p>
    <w:p>
      <w:pPr>
        <w:spacing w:after="0" w:line="158"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WARRANTIES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7"/>
          <w:szCs w:val="17"/>
          <w:b w:val="1"/>
          <w:bCs w:val="1"/>
          <w:color w:val="auto"/>
        </w:rPr>
        <w:t>Title &amp; Capacity Warranties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Seller severally, warrants to the Buyer that each Title &amp; Capacity Warranty as they relate to that Seller and the Sale Shares held by it, is true and correct and not misleading or deceptive as at the date of this document and as at Completion (except where a Title &amp; Capacity Warranty is expressed to be given on a particular date, in which case that Title &amp; Capacity Warranty is given on that date only).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Business Warranties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Founder Sellers jointly and severally, represent and warrant to the Buyer that each Business Warranty is true and correct and not misleading or deceptive:</w:t>
      </w:r>
    </w:p>
    <w:p>
      <w:pPr>
        <w:spacing w:after="0" w:line="162"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Business’ Warranty that is expressed to be given on a particular date, on that date;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other Business’ Warranty, on the date of this document and immediately before Completion.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Separate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Sellers’ Warranty must be construed independently and is not limited by reference to another Sellers’ Warranty.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b w:val="1"/>
          <w:bCs w:val="1"/>
          <w:color w:val="auto"/>
        </w:rPr>
        <w:t>Inducement</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Sellers acknowledge that they have given the Sellers’ Warranties to the Buyer with the intention of inducing the Buyer to enter into this document and that the Buyer has entered into this document on the basis of, and in reliance on, those Sellers’ Warranties.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General Indemnity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qualification and limitations set out in clause 9:</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must severally indemnify the Buyer against, and must pay on demand to the Buyer the amount of, any Claim, Loss or Liability that may be suffered or incurred by the Buyer or a Buyer Group Company arising directly or indirectly from, a Title &amp; Capacity Warranty that relates to that Seller or its Sale Shares being untrue, inaccurate or misleading or deceptive; and</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Sellers must jointly and severally indemnify the Buyer against, and must pay on demand to the Buyer the amount of, any Claim, Loss or Liability that may be suffered or incurred by the Buyer or a Buyer Group Company arising directly or indirectly from any Business Warranty being untrue, inaccurate or misleading or deceptive.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INDEMNITY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w:t>
      </w:r>
      <w:r>
        <w:rPr>
          <w:rFonts w:ascii="Times New Roman" w:cs="Times New Roman" w:eastAsia="Times New Roman" w:hAnsi="Times New Roman"/>
          <w:sz w:val="17"/>
          <w:szCs w:val="17"/>
          <w:b w:val="1"/>
          <w:bCs w:val="1"/>
          <w:color w:val="auto"/>
        </w:rPr>
        <w:t>Tax Indemnity</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or the Company receives or suffers a Tax Claim at any time, the Sellers jointly and severally, must pay the Buyer the sum of the: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Claim Amount for that Tax Claim;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Tax Claim Amounts for Tax Claims received or suffered by the Buyer or the Company,</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to the extent that the Tax Liability relates to any Tax Period, or period, or part period, up to Completion or relates to any transaction, event, act or omission of the Company on or before Completion.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Notice of Tax Assessments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Completion, the Buyer must, and must procure that the Company:</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notifies the Sellers’ Representative in writing of any notice or commencement of any Tax Audit or investigation or non-routine exercise of powers under any Tax Law or any dispute with a Tax Authority in relation to a period prior to Completion, to the extent it may reasonably be expected to give rise to a Tax Claim;</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Sellers’ Representative with a copy of any Tax assessments or any other documentation issued by a Tax Authority in respect of the Company relating to any period before Completion, within 10 Business Days after receipt by the Buyer or the Company (as the case may be);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initiate or amend, or permit the self-amendment of, any Tax Returns that relate to the period prior to Completion, without the prior written consent of the Sellers’ Representative (such consent not to be unreasonably withheld), except where required for the Company to comply with the law.</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Sellers not liable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limiting the limitations in clause 9, no Seller is liable under the Tax Warranties or the Tax Indemnity in respect of a Tax Claim:</w:t>
      </w:r>
    </w:p>
    <w:p>
      <w:pPr>
        <w:spacing w:after="0" w:line="221"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to the extent that any liability for Tax is specifically accrued in the Completion Accounts;</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failure after the Completion Date</w:t>
      </w:r>
      <w:r>
        <w:rPr>
          <w:rFonts w:ascii="Times New Roman" w:cs="Times New Roman" w:eastAsia="Times New Roman" w:hAnsi="Times New Roman"/>
          <w:sz w:val="18"/>
          <w:szCs w:val="18"/>
          <w:color w:val="auto"/>
        </w:rPr>
        <w:t>): to the extent that the Tax Claim results from (or the amount of the Tax Claim is increased because of) the failure by the Company after the Completion Date to:</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lodge any return, notice, objection or other document in relation to the Tax Claim;</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all or any portion of any relief, allowance, deduction, credit, rebate or right to repayment otherwise only allowable to the Company;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or correctly describe in any return, notice, objection or other document relating to the Tax Claim any relevant matter relating to the Tax Claim (but only if the matter was, or might reasonably be expected to have been, within the knowledge of the Company),</w:t>
      </w:r>
    </w:p>
    <w:p>
      <w:pPr>
        <w:spacing w:after="0" w:line="17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provided that failure arising under any of the above paragraphs was not directly or indirectly caused by the unreasonable actions or omissions of that Seller; 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both"/>
        <w:ind w:left="1300" w:hanging="644"/>
        <w:spacing w:after="0" w:line="268"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to the extent that it arises from the Company amending or requesting an amendment to a Tax Return or other Tax filing after Completion which was filed by the Company prior to Completion, unless the Sellers’ Representative has given their prior written consent to the amendment or the amendment is otherwise required by Law.</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Claim refund</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If, following a payment by the Sellers of a Tax Claim Amount, an amount of Tax which is directly referable to the Tax Claim is refunded either in cash or by credit to the Buyer or the Company (including any amount or credit received following a successful objection or appeal), then the Buyer must within 5 Business Days of the refund:</w:t>
      </w:r>
    </w:p>
    <w:p>
      <w:pPr>
        <w:spacing w:after="0" w:line="176" w:lineRule="exact"/>
        <w:rPr>
          <w:sz w:val="20"/>
          <w:szCs w:val="20"/>
          <w:color w:val="auto"/>
        </w:rPr>
      </w:pPr>
    </w:p>
    <w:p>
      <w:pPr>
        <w:ind w:left="1300" w:hanging="644"/>
        <w:spacing w:after="0"/>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Sellers’ Representative of the amount of the refund;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 amount to the Sellers (in their Respective Proportions) equal to the lesser of: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refund less all reasonable third party costs and Tax incurred after Completion by the Buyer or the Company in obtaining the refund, if any;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payment made by the Sellers with respect to the particular Tax Claim.</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Specific indemnities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Founder Seller, on a joint and several basis, indemnifies the Buyer and each other Buyer Group Company, and must pay the Buyer or the relevant Buyer Group Company (for whom the Buyer enters this clause 9.1 as trustee) on demand the amount of any Loss, Claim or Liability (including Taxes or Duties) suffered by the Buyer or Buyer Group to the extent the Loss, Claim or Liability arises from or relates to or is in connection with any of the following:</w:t>
      </w:r>
    </w:p>
    <w:p>
      <w:pPr>
        <w:spacing w:after="0" w:line="176" w:lineRule="exact"/>
        <w:rPr>
          <w:sz w:val="20"/>
          <w:szCs w:val="20"/>
          <w:color w:val="auto"/>
        </w:rPr>
      </w:pPr>
    </w:p>
    <w:p>
      <w:pPr>
        <w:ind w:left="1300" w:hanging="644"/>
        <w:spacing w:after="0" w:line="286"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registers</w:t>
      </w:r>
      <w:r>
        <w:rPr>
          <w:rFonts w:ascii="Times New Roman" w:cs="Times New Roman" w:eastAsia="Times New Roman" w:hAnsi="Times New Roman"/>
          <w:sz w:val="18"/>
          <w:szCs w:val="18"/>
          <w:color w:val="auto"/>
        </w:rPr>
        <w:t>) any failure to maintain, loss, destruction, reconstruction of, or inaccuracy in, any statutory register of the Company required to be maintained by Law in the period prior to Completion;</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Undocumented arrangements</w:t>
      </w:r>
      <w:r>
        <w:rPr>
          <w:rFonts w:ascii="Times New Roman" w:cs="Times New Roman" w:eastAsia="Times New Roman" w:hAnsi="Times New Roman"/>
          <w:sz w:val="18"/>
          <w:szCs w:val="18"/>
          <w:color w:val="auto"/>
        </w:rPr>
        <w:t>) the engagement of each Founder Seller and Jessica Bridge by the Company (whether as an employee, contractor or otherwise) before Completion;</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contractors</w:t>
      </w:r>
      <w:r>
        <w:rPr>
          <w:rFonts w:ascii="Times New Roman" w:cs="Times New Roman" w:eastAsia="Times New Roman" w:hAnsi="Times New Roman"/>
          <w:sz w:val="18"/>
          <w:szCs w:val="18"/>
          <w:color w:val="auto"/>
        </w:rPr>
        <w:t xml:space="preserve">) the actual or alleged misclassification of a person (including offshore workers) as an independent contractor instead of an employee and any Claim for actual or alleged underpayment of that person under any Industrial Instrument, applicable legislation (including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 Tax laws and superannuation laws), including under foreign laws;</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employment laws</w:t>
      </w:r>
      <w:r>
        <w:rPr>
          <w:rFonts w:ascii="Times New Roman" w:cs="Times New Roman" w:eastAsia="Times New Roman" w:hAnsi="Times New Roman"/>
          <w:sz w:val="18"/>
          <w:szCs w:val="18"/>
          <w:color w:val="auto"/>
        </w:rPr>
        <w:t xml:space="preserve">) any failure by the Company, at any time before Completion, to comply with any applicable employment law in Australia or overseas including any modern award, enterprise agreement or industrial instrument (as defined in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ind w:left="1300" w:hanging="644"/>
        <w:spacing w:after="0"/>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any Transaction Costs incurred by the Company prior to Completion; and</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disputes</w:t>
      </w:r>
      <w:r>
        <w:rPr>
          <w:rFonts w:ascii="Times New Roman" w:cs="Times New Roman" w:eastAsia="Times New Roman" w:hAnsi="Times New Roman"/>
          <w:sz w:val="18"/>
          <w:szCs w:val="18"/>
          <w:color w:val="auto"/>
        </w:rPr>
        <w:t>) the dispute between the Company and Ultimate Offroad (Vic) Pty Ltd including, without limitation, the costs incurred by the Buyer or a Buyer Group Company in connection with negotiating, defending and settling such dispute.</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Strict Liability – Title &amp; Capacity Warranties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document, the parties agree that a Seller has no liability for any Warranty Claim arising out of a breach by another Seller of any of the Title &amp; Capacity Warranties.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Buyer may not bring a Warranty Claim (other than a Claim made under the Title &amp; Capacity Warranties or the Tax Warranties) under this document to the extent that the relevant fact, matter or circumstance giving rise to such Warranty Claim:</w:t>
      </w:r>
    </w:p>
    <w:p>
      <w:pPr>
        <w:spacing w:after="0" w:line="162"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provided for or contained in this document;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Disclosed to the Buyer in the Disclosure Material;</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have been discovered by the Buyer had it conducted searches of publicly available records in respect of the Company or its business prior to the date of this document, including searches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maintained by the ASIC as at 19 May 2026;</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PPSR as at 19 May 2026;</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Australia as at 20 May 2026;</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Court of Australia, the Federal Court of Australia, or any State or Territory court as at 19 May 2026;</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register of judgments, insolvency notices or bankruptcy maintained by the Australian Financial Security Authority as at 19 May 2026;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Australian Business Register as at 20 May 2026.</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Acknowledgments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Buyer acknowledges and agrees that:</w:t>
      </w:r>
    </w:p>
    <w:p>
      <w:pPr>
        <w:spacing w:after="0" w:line="225" w:lineRule="exact"/>
        <w:rPr>
          <w:sz w:val="20"/>
          <w:szCs w:val="20"/>
          <w:color w:val="auto"/>
        </w:rPr>
      </w:pPr>
    </w:p>
    <w:p>
      <w:pPr>
        <w:ind w:left="130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the opportunity to conduct, and has conducted, its own due diligence investigations in relation to the Company and the Business (including the Disclosure Material);</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document, it has solely relied on the Disclosure Materials, its own searches, investigations and inquiries in relation to the Company and the Business, except to the extent expressly provided in this document (including the Sellers’ Warranties);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ind w:left="130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received independent professional advice (including legal, accounting, tax and financial advice) concerning this document and the transactions contemplated by this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Maximum Liability</w:t>
      </w:r>
    </w:p>
    <w:p>
      <w:pPr>
        <w:spacing w:after="0" w:line="229"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liability of a Seller in respect of all Warranty Claims and under the Tax Indemnity: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breaches of the Title &amp; Capacity Warranties by that Seller is limited to 100% of the Purchase Price paid to or on behalf of that Seller;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breach of the Business Warranties by, and Claims under the Tax Indemnities against, a Founder Seller is limited to 100% of the Purchase Price paid to or on behalf of the Founder Sellers.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Sellers in respect of the specific indemnities is limited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specific indemnity in clause 9.1(a) – 100% of the total Purchase Price;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all other specific indemnities – the Purchase Price received by the Founder Sellers.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references to ‘Purchase Price’ in clause 10.4(a) is a reference only to the part of the Purchase Price which has actually been paid to or at the direction or, or received by, the relevant Seller at the relevant point in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7"/>
          <w:szCs w:val="17"/>
          <w:b w:val="1"/>
          <w:bCs w:val="1"/>
          <w:color w:val="auto"/>
        </w:rPr>
        <w:t>Financial Limits on Claims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Sellers will not be liable for a Warranty Claim (other than for breach of a Title &amp; Capacity Warranty), unless:</w:t>
      </w:r>
    </w:p>
    <w:p>
      <w:pPr>
        <w:spacing w:after="0" w:line="221"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Warranty Claim is AUD$25,000 or more (</w:t>
      </w:r>
      <w:r>
        <w:rPr>
          <w:rFonts w:ascii="Times New Roman" w:cs="Times New Roman" w:eastAsia="Times New Roman" w:hAnsi="Times New Roman"/>
          <w:sz w:val="18"/>
          <w:szCs w:val="18"/>
          <w:b w:val="1"/>
          <w:bCs w:val="1"/>
          <w:color w:val="auto"/>
        </w:rPr>
        <w:t>Qualifying Claim</w:t>
      </w:r>
      <w:r>
        <w:rPr>
          <w:rFonts w:ascii="Times New Roman" w:cs="Times New Roman" w:eastAsia="Times New Roman" w:hAnsi="Times New Roman"/>
          <w:sz w:val="18"/>
          <w:szCs w:val="18"/>
          <w:color w:val="auto"/>
        </w:rPr>
        <w:t>); and</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all Qualifying Claims exceeds AUD$50,000,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which case, subject to this clause, the Sellers will be liable for the whole amount of all Qualifying Claims and not just the excess.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b w:val="1"/>
          <w:bCs w:val="1"/>
          <w:color w:val="auto"/>
        </w:rPr>
        <w:t>Time Limits</w:t>
      </w:r>
    </w:p>
    <w:p>
      <w:pPr>
        <w:spacing w:after="0" w:line="229" w:lineRule="exact"/>
        <w:rPr>
          <w:sz w:val="20"/>
          <w:szCs w:val="20"/>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cannot make a Warranty Claim or a Claim under the Tax Indemnity unless the Buyer has given written notice of the Claim to the Sellers’ Representative under clause 10.7 on or before the date specified against the type of Claim below:</w:t>
      </w:r>
    </w:p>
    <w:p>
      <w:pPr>
        <w:spacing w:after="0" w:line="160" w:lineRule="exact"/>
        <w:rPr>
          <w:sz w:val="20"/>
          <w:szCs w:val="20"/>
          <w:color w:val="auto"/>
        </w:rPr>
      </w:pPr>
    </w:p>
    <w:tbl>
      <w:tblPr>
        <w:tblLayout w:type="fixed"/>
        <w:tblInd w:w="590" w:type="dxa"/>
        <w:tblCellMar>
          <w:top w:w="0" w:type="dxa"/>
          <w:left w:w="0" w:type="dxa"/>
          <w:bottom w:w="0" w:type="dxa"/>
          <w:right w:w="0" w:type="dxa"/>
        </w:tblCellMar>
      </w:tblPr>
      <w:tr>
        <w:trPr>
          <w:trHeight w:val="315"/>
        </w:trPr>
        <w:tc>
          <w:tcPr>
            <w:tcW w:w="5060" w:type="dxa"/>
            <w:vAlign w:val="bottom"/>
            <w:tcBorders>
              <w:top w:val="single" w:sz="8" w:color="auto"/>
              <w:left w:val="single" w:sz="8" w:color="auto"/>
              <w:bottom w:val="single" w:sz="8" w:color="0D3556"/>
              <w:right w:val="single" w:sz="8" w:color="auto"/>
            </w:tcBorders>
            <w:shd w:val="clear" w:color="auto" w:fill="0D3556"/>
          </w:tcPr>
          <w:p>
            <w:pPr>
              <w:ind w:left="60"/>
              <w:spacing w:after="0"/>
              <w:rPr>
                <w:sz w:val="20"/>
                <w:szCs w:val="20"/>
                <w:color w:val="auto"/>
              </w:rPr>
            </w:pPr>
            <w:r>
              <w:rPr>
                <w:rFonts w:ascii="Times New Roman" w:cs="Times New Roman" w:eastAsia="Times New Roman" w:hAnsi="Times New Roman"/>
                <w:sz w:val="18"/>
                <w:szCs w:val="18"/>
                <w:b w:val="1"/>
                <w:bCs w:val="1"/>
                <w:color w:val="FFFFFF"/>
              </w:rPr>
              <w:t>Claim relating to</w:t>
            </w:r>
          </w:p>
        </w:tc>
        <w:tc>
          <w:tcPr>
            <w:tcW w:w="5600" w:type="dxa"/>
            <w:vAlign w:val="bottom"/>
            <w:tcBorders>
              <w:top w:val="single" w:sz="8" w:color="auto"/>
              <w:bottom w:val="single" w:sz="8" w:color="0D3556"/>
              <w:right w:val="single" w:sz="8" w:color="auto"/>
            </w:tcBorders>
            <w:shd w:val="clear" w:color="auto" w:fill="0D3556"/>
          </w:tcPr>
          <w:p>
            <w:pPr>
              <w:ind w:left="40"/>
              <w:spacing w:after="0"/>
              <w:rPr>
                <w:sz w:val="20"/>
                <w:szCs w:val="20"/>
                <w:color w:val="auto"/>
              </w:rPr>
            </w:pPr>
            <w:r>
              <w:rPr>
                <w:rFonts w:ascii="Times New Roman" w:cs="Times New Roman" w:eastAsia="Times New Roman" w:hAnsi="Times New Roman"/>
                <w:sz w:val="18"/>
                <w:szCs w:val="18"/>
                <w:b w:val="1"/>
                <w:bCs w:val="1"/>
                <w:color w:val="FFFFFF"/>
              </w:rPr>
              <w:t>Time limit:</w:t>
            </w:r>
          </w:p>
        </w:tc>
      </w:tr>
      <w:tr>
        <w:trPr>
          <w:trHeight w:val="250"/>
        </w:trPr>
        <w:tc>
          <w:tcPr>
            <w:tcW w:w="50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Tax Indemnity or Tax Warranty</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 years after the Completion Date</w:t>
            </w:r>
          </w:p>
        </w:tc>
      </w:tr>
      <w:tr>
        <w:trPr>
          <w:trHeight w:val="40"/>
        </w:trPr>
        <w:tc>
          <w:tcPr>
            <w:tcW w:w="5060" w:type="dxa"/>
            <w:vAlign w:val="bottom"/>
            <w:tcBorders>
              <w:left w:val="single" w:sz="8" w:color="auto"/>
              <w:bottom w:val="single" w:sz="8" w:color="auto"/>
              <w:right w:val="single" w:sz="8" w:color="auto"/>
            </w:tcBorders>
          </w:tcPr>
          <w:p>
            <w:pPr>
              <w:spacing w:after="0"/>
              <w:rPr>
                <w:sz w:val="3"/>
                <w:szCs w:val="3"/>
                <w:color w:val="auto"/>
              </w:rPr>
            </w:pPr>
          </w:p>
        </w:tc>
        <w:tc>
          <w:tcPr>
            <w:tcW w:w="5600" w:type="dxa"/>
            <w:vAlign w:val="bottom"/>
            <w:tcBorders>
              <w:bottom w:val="single" w:sz="8" w:color="auto"/>
              <w:right w:val="single" w:sz="8" w:color="auto"/>
            </w:tcBorders>
          </w:tcPr>
          <w:p>
            <w:pPr>
              <w:spacing w:after="0"/>
              <w:rPr>
                <w:sz w:val="3"/>
                <w:szCs w:val="3"/>
                <w:color w:val="auto"/>
              </w:rPr>
            </w:pPr>
          </w:p>
        </w:tc>
      </w:tr>
      <w:tr>
        <w:trPr>
          <w:trHeight w:val="250"/>
        </w:trPr>
        <w:tc>
          <w:tcPr>
            <w:tcW w:w="5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Title &amp; Capacity Warranty</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 years after the Completion Date</w:t>
            </w:r>
          </w:p>
        </w:tc>
      </w:tr>
      <w:tr>
        <w:trPr>
          <w:trHeight w:val="40"/>
        </w:trPr>
        <w:tc>
          <w:tcPr>
            <w:tcW w:w="5060" w:type="dxa"/>
            <w:vAlign w:val="bottom"/>
            <w:tcBorders>
              <w:left w:val="single" w:sz="8" w:color="auto"/>
              <w:bottom w:val="single" w:sz="8" w:color="auto"/>
              <w:right w:val="single" w:sz="8" w:color="auto"/>
            </w:tcBorders>
          </w:tcPr>
          <w:p>
            <w:pPr>
              <w:spacing w:after="0"/>
              <w:rPr>
                <w:sz w:val="3"/>
                <w:szCs w:val="3"/>
                <w:color w:val="auto"/>
              </w:rPr>
            </w:pPr>
          </w:p>
        </w:tc>
        <w:tc>
          <w:tcPr>
            <w:tcW w:w="5600" w:type="dxa"/>
            <w:vAlign w:val="bottom"/>
            <w:tcBorders>
              <w:bottom w:val="single" w:sz="8" w:color="auto"/>
              <w:right w:val="single" w:sz="8" w:color="auto"/>
            </w:tcBorders>
          </w:tcPr>
          <w:p>
            <w:pPr>
              <w:spacing w:after="0"/>
              <w:rPr>
                <w:sz w:val="3"/>
                <w:szCs w:val="3"/>
                <w:color w:val="auto"/>
              </w:rPr>
            </w:pPr>
          </w:p>
        </w:tc>
      </w:tr>
      <w:tr>
        <w:trPr>
          <w:trHeight w:val="250"/>
        </w:trPr>
        <w:tc>
          <w:tcPr>
            <w:tcW w:w="5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 other Sellers’ Warranty</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 years after the Completion Date</w:t>
            </w:r>
          </w:p>
        </w:tc>
      </w:tr>
      <w:tr>
        <w:trPr>
          <w:trHeight w:val="40"/>
        </w:trPr>
        <w:tc>
          <w:tcPr>
            <w:tcW w:w="5060" w:type="dxa"/>
            <w:vAlign w:val="bottom"/>
            <w:tcBorders>
              <w:left w:val="single" w:sz="8" w:color="auto"/>
              <w:bottom w:val="single" w:sz="8" w:color="auto"/>
              <w:right w:val="single" w:sz="8" w:color="auto"/>
            </w:tcBorders>
          </w:tcPr>
          <w:p>
            <w:pPr>
              <w:spacing w:after="0"/>
              <w:rPr>
                <w:sz w:val="3"/>
                <w:szCs w:val="3"/>
                <w:color w:val="auto"/>
              </w:rPr>
            </w:pPr>
          </w:p>
        </w:tc>
        <w:tc>
          <w:tcPr>
            <w:tcW w:w="560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ind w:left="5540" w:right="3620" w:hanging="4884"/>
        <w:spacing w:after="0" w:line="657" w:lineRule="auto"/>
        <w:tabs>
          <w:tab w:leader="none" w:pos="131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has liability for a Warranty Claim or a Claim under the Tax Indemnity unless: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ind w:left="1960" w:hanging="656"/>
        <w:spacing w:after="0"/>
        <w:tabs>
          <w:tab w:leader="none" w:pos="1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has been settled;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 a court of competent jurisdiction for the Claim have been commenced by the Buyer against the Seller within twelve months of the Claim being notified by the Buyer under clause 10.7.</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7"/>
          <w:szCs w:val="17"/>
          <w:b w:val="1"/>
          <w:bCs w:val="1"/>
          <w:color w:val="auto"/>
        </w:rPr>
        <w:t>Notice of potential Claim</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becomes aware of facts, matters or circumstances which it concludes based on advice from its legal counsel will entitle it to make a Warranty Claim or a Claim under the Tax Indemnity it must give notice to the Sellers’ Representative on or before the date 60 Business Days after becoming aware of that fact, matter or circumstance.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by the Buyer under clause 10.7(a) must specify the fact, matter or circumstance giving rise to the Claim and a summary of the Claim (so far as they are known to the Buyer) including the Buyer’s bona fide and reasonable calculation or estimate of the loss suffered (to the extent practicable or available at the time).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Buyer to provide notice in accordance with clauses 10.7(a) and 10.7(b) does not preclude the Buyer’s ability to bring a Warranty Claim or a Claim under the Tax Indemnity, provided always that the Buyer has complied with clause 10.6 in respect of that Warranty Claim or a Claim under the Tax Indemnity.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8"/>
          <w:szCs w:val="18"/>
          <w:b w:val="1"/>
          <w:bCs w:val="1"/>
          <w:color w:val="auto"/>
        </w:rPr>
        <w:t>Other Limitations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Sellers are not liable in respect of any Warranty Claim in respect of this document to the extent that:</w:t>
      </w:r>
    </w:p>
    <w:p>
      <w:pPr>
        <w:spacing w:after="0" w:line="225" w:lineRule="exact"/>
        <w:rPr>
          <w:sz w:val="20"/>
          <w:szCs w:val="20"/>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respect of a Title &amp; Capacity Warranty, specific provision has been made for that fact, matter or circumstance in the Completion Accounts;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contingent, prospective, not ascertained or ascertainable, unless and until the Buyer suffers actual Loss in respect of such Claim, however this does not prevent the Buyer from giving notice of any Claim arising under this document in respect of such contingent, prospective or non-ascertainable liability;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for Consequential Loss;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arises from, or is increased as a result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or amendment of any legislation or regulation;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judicial interpretation of any Law,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after the Completion Date and which was not foreseeable or announced before the date of this document;</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arises from, or is increased by, anything done by or on behalf of any Seller or the Company prior to Completion at the written direction of the Buyer, and where the Buyer has been provided with sufficient information at the time of providing that direction to be able to reasonably assess the breach of Warranty (or Warranties) likely to arise from the thing done by or on behalf of any Seller or the Company based on that direction; or</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capable of remedy and is remedied to the reasonable satisfaction of the Buyer on or before the date being 20 Business Days after the Sellers’ Representative receives notice of the Claim under clause 10.7(a).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10.9</w:t>
      </w:r>
      <w:r>
        <w:rPr>
          <w:sz w:val="20"/>
          <w:szCs w:val="20"/>
          <w:color w:val="auto"/>
        </w:rPr>
        <w:tab/>
      </w:r>
      <w:r>
        <w:rPr>
          <w:rFonts w:ascii="Times New Roman" w:cs="Times New Roman" w:eastAsia="Times New Roman" w:hAnsi="Times New Roman"/>
          <w:sz w:val="17"/>
          <w:szCs w:val="17"/>
          <w:b w:val="1"/>
          <w:bCs w:val="1"/>
          <w:color w:val="auto"/>
        </w:rPr>
        <w:t>Exclusions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Buyer acknowledges and agrees with the Sellers that: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representations and warranties on which the Buyer has relied entering into this document are those set out in Schedule 6 of this document and the Buyer must not make any Warranty Claim asserting reliance on any representation or warranty, other than the Sellers’ Warranties;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by Law, all other terms, conditions, warranties, representations and undertakings (whether express or implied) and whether oral or in writing or given by the Sellers or any of their Representatives are expressly excluded;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not made any warranty or representation as to the accuracy of any forecast, budget, estimate, projection, statement of opinion or statement of intention provided to the Buyer before the date of this document;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entering into this document in reliance on, and it may not rely on, any forecast, budget, estimate, projection, statement of opinion or statement of intention;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person entitled to make a Warranty Claim is the Buyer and then only strictly in accordance with and subject to this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10.10</w:t>
      </w:r>
      <w:r>
        <w:rPr>
          <w:sz w:val="20"/>
          <w:szCs w:val="20"/>
          <w:color w:val="auto"/>
        </w:rPr>
        <w:tab/>
      </w:r>
      <w:r>
        <w:rPr>
          <w:rFonts w:ascii="Times New Roman" w:cs="Times New Roman" w:eastAsia="Times New Roman" w:hAnsi="Times New Roman"/>
          <w:sz w:val="17"/>
          <w:szCs w:val="17"/>
          <w:b w:val="1"/>
          <w:bCs w:val="1"/>
          <w:color w:val="auto"/>
        </w:rPr>
        <w:t>No double recovery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Buyer is not entitled to recover more than once for the same liability under this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10.11</w:t>
      </w:r>
      <w:r>
        <w:rPr>
          <w:sz w:val="20"/>
          <w:szCs w:val="20"/>
          <w:color w:val="auto"/>
        </w:rPr>
        <w:tab/>
      </w:r>
      <w:r>
        <w:rPr>
          <w:rFonts w:ascii="Times New Roman" w:cs="Times New Roman" w:eastAsia="Times New Roman" w:hAnsi="Times New Roman"/>
          <w:sz w:val="17"/>
          <w:szCs w:val="17"/>
          <w:b w:val="1"/>
          <w:bCs w:val="1"/>
          <w:color w:val="auto"/>
        </w:rPr>
        <w:t>Tax benefit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determining the liability of the Sellers for a breach of any Sellers’ Warranty, account must be taken of the demonstrated amount by which any Tax for which the Buyer or, after Completion, the Company is accountable or liable to be assessed is either increased or is reduced or extinguished as a direct result of the liability or any matter giving rise to such liability.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10.12</w:t>
      </w:r>
      <w:r>
        <w:rPr>
          <w:sz w:val="20"/>
          <w:szCs w:val="20"/>
          <w:color w:val="auto"/>
        </w:rPr>
        <w:tab/>
      </w:r>
      <w:r>
        <w:rPr>
          <w:rFonts w:ascii="Times New Roman" w:cs="Times New Roman" w:eastAsia="Times New Roman" w:hAnsi="Times New Roman"/>
          <w:sz w:val="17"/>
          <w:szCs w:val="17"/>
          <w:b w:val="1"/>
          <w:bCs w:val="1"/>
          <w:color w:val="auto"/>
        </w:rPr>
        <w:t>Gross up for Tax</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the Sellers are (or a particular Seller is) liable to the Buyer or a Buyer Group Company under a Claim made under or in connection with this document, and:</w:t>
      </w:r>
    </w:p>
    <w:p>
      <w:pPr>
        <w:spacing w:after="0" w:line="162" w:lineRule="exact"/>
        <w:rPr>
          <w:sz w:val="20"/>
          <w:szCs w:val="20"/>
          <w:color w:val="auto"/>
        </w:rPr>
      </w:pPr>
    </w:p>
    <w:p>
      <w:pPr>
        <w:ind w:left="1300" w:hanging="644"/>
        <w:spacing w:after="0" w:line="282"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payment is assessable under the Tax Act such that the payment increases the Tax payable by, or reduces the tax relief available to, the Buyer or Buyer Group Company under the Tax Act;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consequence of the receipt of a payment referred to in 10.12(a), an amount of taxable income arises to the Buyer or Buyer Group Company under the Tax Act,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then in addition to the Claim, the Sellers (or the particular Seller) must promptly pay to the Buyer or Buyer Group Company such additional amount equal to an amount that would be necessary to ensure the Buyer or Buyer Group Company (as applicable) is compensated for the value of the tax relief lost, or that the net amount retained by the Buyer or Buyer Group Company (as applicable), after deduction of Tax or payment of the increased income tax, equals the amount the Buyer or Buyer Group Company (as applicable), would have retained had the Tax or increased income tax not been payable or the tax relief not been lost (the </w:t>
      </w:r>
      <w:r>
        <w:rPr>
          <w:rFonts w:ascii="Times New Roman" w:cs="Times New Roman" w:eastAsia="Times New Roman" w:hAnsi="Times New Roman"/>
          <w:sz w:val="18"/>
          <w:szCs w:val="18"/>
          <w:b w:val="1"/>
          <w:bCs w:val="1"/>
          <w:color w:val="auto"/>
        </w:rPr>
        <w:t>Tax Gross Up Amount</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10.13</w:t>
        <w:tab/>
        <w:t>Recovery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the Sellers have paid any amount to the Buyer or the Company in relation to any Claim under this document and the Buyer or the Company receives any amount (including any credit, discount, payment or otherwise) in respect of the matter giving rise to the Claim (including payment under any insurance policy) then the Buyer must pay, or procure the Company to pay, to the Sellers, in their Respective Proportions, the lesser of the amount paid by the Sellers in respect of the Claim and the amount received by the Buyer or the Company from the other person (after deducting all costs, expenses, Tax, interest and penalties incurred by the Buyer or the Company in respect of the recovery).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10.14</w:t>
        <w:tab/>
        <w:t>Independent limitations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qualification and limitation in this clause 10 is to be construed independently of the others and is not limited by any other qualification or limitation.</w:t>
      </w:r>
    </w:p>
    <w:p>
      <w:pPr>
        <w:spacing w:after="0" w:line="158"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WARRANTIES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each Seller agreeing to sell that Sale Shares to the Buyer on the terms and conditions of this document, the Buyer gives the Buyer’s Warranties in favour of the Sellers on the date of this document and immediately prior to Completion.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Buyer’s Warranties remain in full force after Completion, is separate and independent and not limited or restricted by any other Buyer’s Warranty.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indemnifies the Seller against, and must pay to the Seller on demand, an amount equal to, all Loss suffered or incurred any Seller after Completion as a result of a breach of any Buyer’s Warranty.</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ESCROW</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Escrow arrangement</w:t>
      </w:r>
    </w:p>
    <w:p>
      <w:pPr>
        <w:spacing w:after="0" w:line="229" w:lineRule="exact"/>
        <w:rPr>
          <w:sz w:val="20"/>
          <w:szCs w:val="20"/>
          <w:color w:val="auto"/>
        </w:rPr>
      </w:pPr>
    </w:p>
    <w:p>
      <w:pPr>
        <w:ind w:left="130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Completion, the Buyer and the Sellers must each execute and deliver (and must procure that the Escrow Agent executes and delivers) to the other parties the Escrow Deed.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 the Sellers agree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 the Sellers will appoint the Escrow Agent to hold the Total Escrow Amount in the Escrow Account in accordance with this clause 12 and the Escrow Deed;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Escrow Amount will be paid on the Completion Date by the Buyer to the Escrow Account to be held by the Escrow Agent in accordance with the Escrow Deed;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the Buyer out of the Escrow Account in accordance with this clause 12 is an adjustment to the Purchase Price.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Completion: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Account must be operated, and the Total Escrow Amount and interest accruing on it (or any part of it) must be applied, in accordance with this clause 12;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 the Seller must promptly give or join in giving all such instructions as are necessary to procure the operation of the Escrow Account, and application of the Total Escrow Amount and interest accruing on it (or any part of it), in accordance with the provisions of this clause 12.</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Payments from Escrow Account</w:t>
      </w:r>
    </w:p>
    <w:p>
      <w:pPr>
        <w:spacing w:after="0" w:line="229" w:lineRule="exact"/>
        <w:rPr>
          <w:sz w:val="20"/>
          <w:szCs w:val="20"/>
          <w:color w:val="auto"/>
        </w:rPr>
      </w:pPr>
    </w:p>
    <w:p>
      <w:pPr>
        <w:ind w:left="130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the Total Escrow Amount must be held in the Escrow Account in accordance with the terms of this clause 12 and the Escrow Deed.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no amount will be released by the Escrow Agent out of the Escrow Account other than in accordance with this clause 12 and the Escrow Deed;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take all steps as reasonably necessary to permit the distribution of amounts in the Escrow Account in accordance with this clause 12 and the Escrow Deed.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Entitlement to First Escrow Amount</w:t>
      </w:r>
    </w:p>
    <w:p>
      <w:pPr>
        <w:spacing w:after="0" w:line="229"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this clause 12.3 applies only to the First Escrow Amount.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entitled to each Buyer Escrow Entitlement from the Escrow Amount Balance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Properly Made Escrow Claim before the Escrow Payment Date;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Properly Made Escrow Claim is Finally Resolved in favour of the Buyer (whether before or after the applicable Escrow Payment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that Buyer Escrow Entitlement is payable at the times and in accordance with the terms of the Escrow Deed.</w:t>
      </w:r>
    </w:p>
    <w:p>
      <w:pPr>
        <w:spacing w:after="0" w:line="225"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entitled from the Escrow Amount Balance: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applicable Escrow Payment Date: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Amount Balance;</w:t>
      </w:r>
    </w:p>
    <w:p>
      <w:pPr>
        <w:spacing w:after="0" w:line="225" w:lineRule="exact"/>
        <w:rPr>
          <w:rFonts w:ascii="Times New Roman" w:cs="Times New Roman" w:eastAsia="Times New Roman" w:hAnsi="Times New Roman"/>
          <w:sz w:val="18"/>
          <w:szCs w:val="18"/>
          <w:color w:val="auto"/>
        </w:rPr>
      </w:pPr>
    </w:p>
    <w:p>
      <w:pPr>
        <w:ind w:left="1960" w:right="2900" w:hanging="8"/>
        <w:spacing w:after="0" w:line="500" w:lineRule="auto"/>
        <w:tabs>
          <w:tab w:leader="none" w:pos="2608"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aggregate of all Unresolved Buyer Claim Estimates (if any) at that date, (if that amount is a positive figure) (</w:t>
      </w:r>
      <w:r>
        <w:rPr>
          <w:rFonts w:ascii="Times New Roman" w:cs="Times New Roman" w:eastAsia="Times New Roman" w:hAnsi="Times New Roman"/>
          <w:sz w:val="18"/>
          <w:szCs w:val="18"/>
          <w:b w:val="1"/>
          <w:bCs w:val="1"/>
          <w:color w:val="auto"/>
        </w:rPr>
        <w:t>Seller Escrow Entitlement</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each Unresolved Buyer Claim is Finally Resolved, to the: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Amount Balance;</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Finally Resolved Amount in respect of that Unresolved Buyer Claim (to the extent Finally Resolved in favour of the Buyer);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ind w:left="1300" w:right="4080" w:firstLine="652"/>
        <w:spacing w:after="0" w:line="500" w:lineRule="auto"/>
        <w:tabs>
          <w:tab w:leader="none" w:pos="25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all Unresolved Buyer Claim Estimates (if any) at that time, (if that amount is a positive figure) (</w:t>
      </w:r>
      <w:r>
        <w:rPr>
          <w:rFonts w:ascii="Times New Roman" w:cs="Times New Roman" w:eastAsia="Times New Roman" w:hAnsi="Times New Roman"/>
          <w:sz w:val="18"/>
          <w:szCs w:val="18"/>
          <w:b w:val="1"/>
          <w:bCs w:val="1"/>
          <w:color w:val="auto"/>
        </w:rPr>
        <w:t>Seller Escrow Entitlement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Escrow Entitlement being payable at the times and in accordance with the terms of the Escrow Deed.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Entitlement to Second Escrow Amount</w:t>
      </w:r>
    </w:p>
    <w:p>
      <w:pPr>
        <w:spacing w:after="0" w:line="229"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this clause 12.4 applies only to the Second Escrow Amount.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is entitled to each Buyer Escrow Entitlement from the Escrow Amount Balance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Properly Made Escrow Claim before the Escrow Payment Date;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Properly Made Escrow Claim is Finally Resolved in favour of the Buyer (whether before or after the applicable Escrow Payment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that Buyer Escrow Entitlement is payable at the times and in accordance with the terms of the Escrow Deed.</w:t>
      </w:r>
    </w:p>
    <w:p>
      <w:pPr>
        <w:spacing w:after="0" w:line="225" w:lineRule="exact"/>
        <w:rPr>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entitled from the Escrow Amount Balance: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applicable Escrow Payment Date: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Amount Balance;</w:t>
      </w:r>
    </w:p>
    <w:p>
      <w:pPr>
        <w:spacing w:after="0" w:line="225" w:lineRule="exact"/>
        <w:rPr>
          <w:rFonts w:ascii="Times New Roman" w:cs="Times New Roman" w:eastAsia="Times New Roman" w:hAnsi="Times New Roman"/>
          <w:sz w:val="18"/>
          <w:szCs w:val="18"/>
          <w:color w:val="auto"/>
        </w:rPr>
      </w:pPr>
    </w:p>
    <w:p>
      <w:pPr>
        <w:ind w:left="1960" w:right="2900" w:hanging="8"/>
        <w:spacing w:after="0" w:line="500" w:lineRule="auto"/>
        <w:tabs>
          <w:tab w:leader="none" w:pos="2608"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aggregate of all Unresolved Buyer Claim Estimates (if any) at that date, (if that amount is a positive figure) (</w:t>
      </w:r>
      <w:r>
        <w:rPr>
          <w:rFonts w:ascii="Times New Roman" w:cs="Times New Roman" w:eastAsia="Times New Roman" w:hAnsi="Times New Roman"/>
          <w:sz w:val="18"/>
          <w:szCs w:val="18"/>
          <w:b w:val="1"/>
          <w:bCs w:val="1"/>
          <w:color w:val="auto"/>
        </w:rPr>
        <w:t>Seller Escrow Entitlement</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each Unresolved Buyer Claim is Finally Resolved, to the: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Amount Balance;</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Finally Resolved Amount in respect of that Unresolved Buyer Claim (to the extent Finally Resolved in favour of the Buyer);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all Unresolved Buyer Claim Estimates (if any) at that time,</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that amount is a positive figure) (</w:t>
      </w:r>
      <w:r>
        <w:rPr>
          <w:rFonts w:ascii="Times New Roman" w:cs="Times New Roman" w:eastAsia="Times New Roman" w:hAnsi="Times New Roman"/>
          <w:sz w:val="18"/>
          <w:szCs w:val="18"/>
          <w:b w:val="1"/>
          <w:bCs w:val="1"/>
          <w:color w:val="auto"/>
        </w:rPr>
        <w:t>Seller Escrow Entitlement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Seller Escrow Entitlement being payable at the times and in accordance with the terms of the Escrow Deed.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Purchase Price Reduction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Price is reduced by the amount equal to the aggregate of all Buyer Escrow Entitlements.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Buyer’s rights not limited</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provisions of this document relating to the Buyer’s call on the Escrow Amount Balance will not limit the Buyer’s other rights and remedies in respect of any Claim.</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ind w:left="-8" w:right="7500" w:firstLine="8"/>
        <w:spacing w:after="0" w:line="503" w:lineRule="auto"/>
        <w:tabs>
          <w:tab w:leader="none" w:pos="6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POST-COMPLETION OBLIGATIONS 13.1 Tax Returns</w:t>
      </w:r>
    </w:p>
    <w:p>
      <w:pPr>
        <w:ind w:left="1292" w:hanging="644"/>
        <w:spacing w:after="0"/>
        <w:tabs>
          <w:tab w:leader="none" w:pos="129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Date, the Buyer must, or must procure that the Company, prepare and lodge all Tax Returns:</w:t>
      </w:r>
    </w:p>
    <w:p>
      <w:pPr>
        <w:spacing w:after="0" w:line="221" w:lineRule="exact"/>
        <w:rPr>
          <w:rFonts w:ascii="Times New Roman" w:cs="Times New Roman" w:eastAsia="Times New Roman" w:hAnsi="Times New Roman"/>
          <w:sz w:val="18"/>
          <w:szCs w:val="18"/>
          <w:color w:val="auto"/>
        </w:rPr>
      </w:pPr>
    </w:p>
    <w:p>
      <w:pPr>
        <w:ind w:left="1952" w:hanging="656"/>
        <w:spacing w:after="0" w:line="286" w:lineRule="auto"/>
        <w:tabs>
          <w:tab w:leader="none" w:pos="1952"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Tax Periods ending on or before the Completion Date, which have a due date after the Completion Date (</w:t>
      </w:r>
      <w:r>
        <w:rPr>
          <w:rFonts w:ascii="Times New Roman" w:cs="Times New Roman" w:eastAsia="Times New Roman" w:hAnsi="Times New Roman"/>
          <w:sz w:val="18"/>
          <w:szCs w:val="18"/>
          <w:b w:val="1"/>
          <w:bCs w:val="1"/>
          <w:color w:val="auto"/>
        </w:rPr>
        <w:t>Pre-Completion Tax Period</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Tax Period that starts before the Completion Date and ends after the Completion Date (</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92"/>
        <w:spacing w:after="0" w:line="282" w:lineRule="auto"/>
        <w:rPr>
          <w:sz w:val="20"/>
          <w:szCs w:val="20"/>
          <w:color w:val="auto"/>
        </w:rPr>
      </w:pPr>
      <w:r>
        <w:rPr>
          <w:rFonts w:ascii="Times New Roman" w:cs="Times New Roman" w:eastAsia="Times New Roman" w:hAnsi="Times New Roman"/>
          <w:sz w:val="18"/>
          <w:szCs w:val="18"/>
          <w:color w:val="auto"/>
        </w:rPr>
        <w:t>so that any Tax Return for the Pre-Completion Tax Period and Straddle Period are lodged with the relevant Tax Authority at the latest, by the last day on which they can be lodged without the imposition of penalties or interest charges.</w:t>
      </w:r>
    </w:p>
    <w:p>
      <w:pPr>
        <w:spacing w:after="0" w:line="162" w:lineRule="exact"/>
        <w:rPr>
          <w:sz w:val="20"/>
          <w:szCs w:val="20"/>
          <w:color w:val="auto"/>
        </w:rPr>
      </w:pPr>
    </w:p>
    <w:p>
      <w:pPr>
        <w:ind w:left="1292" w:hanging="644"/>
        <w:spacing w:after="0"/>
        <w:tabs>
          <w:tab w:leader="none" w:pos="129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a Tax Return under this clause 13.1 for the Pre-Completion Tax Period and Straddle Period:</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must ensure that the Tax Return is prepared in a manner consistent with the requirements of any Tax Law;</w:t>
      </w:r>
    </w:p>
    <w:p>
      <w:pPr>
        <w:spacing w:after="0" w:line="225" w:lineRule="exact"/>
        <w:rPr>
          <w:rFonts w:ascii="Times New Roman" w:cs="Times New Roman" w:eastAsia="Times New Roman" w:hAnsi="Times New Roman"/>
          <w:sz w:val="18"/>
          <w:szCs w:val="18"/>
          <w:color w:val="auto"/>
        </w:rPr>
      </w:pPr>
    </w:p>
    <w:p>
      <w:pPr>
        <w:jc w:val="both"/>
        <w:ind w:left="1952" w:hanging="656"/>
        <w:spacing w:after="0" w:line="266" w:lineRule="auto"/>
        <w:tabs>
          <w:tab w:leader="none" w:pos="195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agree to provide the Buyer reasonable assistance in preparing any Pre-Completion Tax Period and Straddle Period Tax Return, including providing the Buyer with any and all information within each Seller’s possession which is necessary in order for the Buyer to satisfy its obligations;</w:t>
      </w:r>
    </w:p>
    <w:p>
      <w:pPr>
        <w:spacing w:after="0" w:line="17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must, no later than:</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Business Days before the due date for lodgement for a business activity statement;</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Business Days before the due date for lodgement for a payroll tax return; and</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30 Business Days before the due date for lodgement for any other Tax Return,</w:t>
      </w:r>
    </w:p>
    <w:p>
      <w:pPr>
        <w:spacing w:after="0" w:line="225" w:lineRule="exact"/>
        <w:rPr>
          <w:sz w:val="20"/>
          <w:szCs w:val="20"/>
          <w:color w:val="auto"/>
        </w:rPr>
      </w:pPr>
    </w:p>
    <w:p>
      <w:pPr>
        <w:ind w:left="1952" w:right="20"/>
        <w:spacing w:after="0" w:line="282" w:lineRule="auto"/>
        <w:rPr>
          <w:sz w:val="20"/>
          <w:szCs w:val="20"/>
          <w:color w:val="auto"/>
        </w:rPr>
      </w:pPr>
      <w:r>
        <w:rPr>
          <w:rFonts w:ascii="Times New Roman" w:cs="Times New Roman" w:eastAsia="Times New Roman" w:hAnsi="Times New Roman"/>
          <w:sz w:val="18"/>
          <w:szCs w:val="18"/>
          <w:color w:val="auto"/>
        </w:rPr>
        <w:t>provide the Sellers’ Representative with a copy of the Tax Return and supporting calculations for the Sellers’ Representative’s review and comment;</w:t>
      </w:r>
    </w:p>
    <w:p>
      <w:pPr>
        <w:spacing w:after="0" w:line="162" w:lineRule="exact"/>
        <w:rPr>
          <w:sz w:val="20"/>
          <w:szCs w:val="20"/>
          <w:color w:val="auto"/>
        </w:rPr>
      </w:pPr>
    </w:p>
    <w:p>
      <w:pPr>
        <w:ind w:left="1952" w:hanging="656"/>
        <w:spacing w:after="0" w:line="282" w:lineRule="auto"/>
        <w:tabs>
          <w:tab w:leader="none" w:pos="195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Sellers’ Representative objects to any item in a relevant Tax Return, the Sellers’ Representative must notify the Buyer of the objection as soon as reasonably practicable and in any event, no later than:</w:t>
      </w:r>
    </w:p>
    <w:p>
      <w:pPr>
        <w:spacing w:after="0" w:line="161"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Business Days before the due date for lodgement for a business activity statement;</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Business Days before the due date for lodgement for a payroll tax return; and</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15 Business Days before lodgement for any other Tax Return,</w:t>
      </w:r>
    </w:p>
    <w:p>
      <w:pPr>
        <w:spacing w:after="0" w:line="225"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and the parties must attempt in good faith to resolve the dispute; and</w:t>
      </w:r>
    </w:p>
    <w:p>
      <w:pPr>
        <w:spacing w:after="0" w:line="3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65" w:right="339" w:bottom="1440" w:gutter="0" w:footer="0" w:header="0"/>
        </w:sectPr>
      </w:pPr>
    </w:p>
    <w:bookmarkStart w:id="49" w:name="page50"/>
    <w:bookmarkEnd w:id="49"/>
    <w:p>
      <w:pPr>
        <w:ind w:left="1304" w:right="20" w:hanging="656"/>
        <w:spacing w:after="0" w:line="282" w:lineRule="auto"/>
        <w:tabs>
          <w:tab w:leader="none" w:pos="130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resolve the dispute referred to in clause 13.1(b)(iv) by agreement by the due date for lodgement of the Tax Return, the Buyer must, or must procure the Company to:</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lodge the Tax Return as prepared by the Buyer by the due date for lodgement;</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to resolve the dispute in accordance with clause 13.1(c):</w:t>
      </w:r>
    </w:p>
    <w:p>
      <w:pPr>
        <w:spacing w:after="0" w:line="225" w:lineRule="exact"/>
        <w:rPr>
          <w:rFonts w:ascii="Times New Roman" w:cs="Times New Roman" w:eastAsia="Times New Roman" w:hAnsi="Times New Roman"/>
          <w:sz w:val="18"/>
          <w:szCs w:val="18"/>
          <w:color w:val="auto"/>
        </w:rPr>
      </w:pPr>
    </w:p>
    <w:p>
      <w:pPr>
        <w:ind w:left="2584" w:hanging="640"/>
        <w:spacing w:after="0" w:line="282" w:lineRule="auto"/>
        <w:tabs>
          <w:tab w:leader="none" w:pos="2584" w:val="left"/>
        </w:tabs>
        <w:numPr>
          <w:ilvl w:val="3"/>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chartered accountant (or an internationally recognised firm of accountants) agreed between the Buyer and the Sellers’ Representative; or</w:t>
      </w:r>
    </w:p>
    <w:p>
      <w:pPr>
        <w:spacing w:after="0" w:line="161" w:lineRule="exact"/>
        <w:rPr>
          <w:rFonts w:ascii="Times New Roman" w:cs="Times New Roman" w:eastAsia="Times New Roman" w:hAnsi="Times New Roman"/>
          <w:sz w:val="18"/>
          <w:szCs w:val="18"/>
          <w:color w:val="auto"/>
        </w:rPr>
      </w:pPr>
    </w:p>
    <w:p>
      <w:pPr>
        <w:jc w:val="both"/>
        <w:ind w:left="2584" w:hanging="640"/>
        <w:spacing w:after="0" w:line="266" w:lineRule="auto"/>
        <w:tabs>
          <w:tab w:leader="none" w:pos="2584" w:val="left"/>
        </w:tabs>
        <w:numPr>
          <w:ilvl w:val="3"/>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agreement, within five Business Days of either Buyer or the Sellers’ Representative requesting it in writing, an independent chartered accountant with at least 10 years’ experience appointed by the Chair of Resolution Institute (ACN 008 651 232) or such Chair’s designated representative,</w:t>
      </w:r>
    </w:p>
    <w:p>
      <w:pPr>
        <w:spacing w:after="0" w:line="171" w:lineRule="exact"/>
        <w:rPr>
          <w:rFonts w:ascii="Times New Roman" w:cs="Times New Roman" w:eastAsia="Times New Roman" w:hAnsi="Times New Roman"/>
          <w:sz w:val="18"/>
          <w:szCs w:val="18"/>
          <w:color w:val="auto"/>
        </w:rPr>
      </w:pPr>
    </w:p>
    <w:p>
      <w:pPr>
        <w:ind w:left="25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Tax Reviewer</w:t>
      </w:r>
      <w:r>
        <w:rPr>
          <w:rFonts w:ascii="Times New Roman" w:cs="Times New Roman" w:eastAsia="Times New Roman" w:hAnsi="Times New Roman"/>
          <w:sz w:val="18"/>
          <w:szCs w:val="18"/>
          <w:color w:val="auto"/>
        </w:rPr>
        <w:t>); and</w:t>
      </w:r>
    </w:p>
    <w:p>
      <w:pPr>
        <w:spacing w:after="0" w:line="229"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as a result of the Independent Tax Reviewer’s determination, make, file, lodge or submit an amended Tax Return which reflects the resolution of the disputed items.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on the appointment of an Independent Tax Reviewer under clause 13.1(b)(iv):</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manifest error, the determination of the Independent Tax Reviewer will be final and binding on the parties for all purposes of this agreement;</w:t>
      </w:r>
    </w:p>
    <w:p>
      <w:pPr>
        <w:spacing w:after="0" w:line="162" w:lineRule="exact"/>
        <w:rPr>
          <w:sz w:val="20"/>
          <w:szCs w:val="20"/>
          <w:color w:val="auto"/>
        </w:rPr>
      </w:pPr>
    </w:p>
    <w:p>
      <w:pPr>
        <w:ind w:left="1304" w:hanging="656"/>
        <w:spacing w:after="0"/>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Tax Reviewer will act as an independent expert and not as an arbitrator;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Tax Reviewer must decide the procedure to be followed;</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regard to the sensitivity of any confidential information, the Independent Tax Reviewer will be entitled to take advice from any person considered by them to have expert knowledge with reference to the matter in question;</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correspondence between a party and the Independent Tax Reviewer must be in writing and copied to the other parties;</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the Sellers’ Representative and the Sellers must keep all information disclosed during the Independent Tax Reviewer’s determination confidential; and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the Independent Tax Reviewer are to be paid by the Buyer as to 50% and the Sellers as to 50%.</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the Buyer and the Sellers must: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 party in preparing any Tax Returns for the Company that that party is responsible for preparing and filing;</w:t>
      </w:r>
    </w:p>
    <w:p>
      <w:pPr>
        <w:spacing w:after="0" w:line="33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50" w:name="page51"/>
    <w:bookmarkEnd w:id="50"/>
    <w:p>
      <w:pPr>
        <w:ind w:left="1960" w:hanging="656"/>
        <w:spacing w:after="0" w:line="282" w:lineRule="auto"/>
        <w:tabs>
          <w:tab w:leader="none" w:pos="1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fully in preparation for any audits of, or disputes with any Government Agency regarding, any Tax Returns of the Company, whether previously filed or delinquent;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notice to the other party of any pending or threatened Tax audits or assessments of the Company for taxable periods for which such parties may be liable under this agreement;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all information, records and documents relating to the Tax Liabilities and potential Tax Liabilities of the Company for all periods up to the Completion Date until the expiration of any applicable statute of limitations (including any extensions).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must pay its own costs in connection with this clause 13.1 (including the costs of presenting its case to the Independent Tax Reviewer).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Audit</w:t>
      </w:r>
    </w:p>
    <w:p>
      <w:pPr>
        <w:spacing w:after="0" w:line="229" w:lineRule="exact"/>
        <w:rPr>
          <w:sz w:val="20"/>
          <w:szCs w:val="20"/>
          <w:color w:val="auto"/>
        </w:rPr>
      </w:pPr>
    </w:p>
    <w:p>
      <w:pPr>
        <w:ind w:left="1300" w:right="20" w:hanging="644"/>
        <w:spacing w:after="0" w:line="282"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acknowledges that the Company’s financial statements will be required to undergo a PCAOB Audit to be completed by no later than 30 June 2026.</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PCAOB Audit, the Seller agrees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all reasonable endeavours to assist in the PCAOB Audit;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full access to Company books, records, systems, and contracts;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Company’s finance team is reasonably available to assist with audit coordination and responding to queries;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Company’s third party or internal accountants and other relevant representatives, including personnel are reasonably and promptly available, responsive, and engaged in the performance of the PCAOB Audit.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Termination by Buyer</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document may be terminated at any time before Completion by the Buyer if the Sellers fail to deliver to the Buyer each of the documents and instruments required to be delivered by them at Completion as detailed in clause 4.2 or fail to otherwise perform all of their obligations required to be performed at Completion, and then only where the Sellers do not remedy any such failure within 10 Business Days of the Buyer giving them written notice setting out details of the specific failure to perform, comply or deliver.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Termination by Sellers’ Representative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This document may be terminated at any time before Completion by the Sellers’ Representative if the Buyer fails to deliver to the Sellers each of the documents and instruments required to be delivered by it at Completion as detailed in clause 4.3, or fails to otherwise perform all of its obligations required to be performed at Completion (including but not limited to, the obligation to pay the Completion Payment), and then only where the Buyer does not remedy any such failure within 10 Business Days of the Sellers’ Representative giving the Buyer written notice setting out details of the specific failure to perform, comply or deliver.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Effect of Termination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this document is terminated under clause 14.1 or 14.2 then each party is relieved of any further obligations under this document, other than the clauses set out in clauses 14.5 which will survive termination.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Rights not limited</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Termination of this document in accordance with this clause 14 will not limit or affect any accrued rights of a party arising from any breach of this document by another party before termination, including where such breach is the basis for termination by another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Survival</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Clauses 1.6 (Appointment of Sellers’ Representative), 15 (Confidentiality), 17 (GST), 20 (Notices), 22 (Miscellaneous), and this clause 14 (and those provisions of clause 1 which go to the interpretation of those clauses) continue to apply after termination of this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b w:val="1"/>
          <w:bCs w:val="1"/>
          <w:color w:val="auto"/>
        </w:rPr>
        <w:t>Return of Confidential Information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Upon termination of this document, the recipient of Confidential Information must immediately cease to use any records and materials, in any form, in its possession or control which contain or embody any Confidential Information and to the extent any such records and materials are electronic, delete all electronic copies of them and, otherwise, return such records and materials to the party that disclosed that information.</w:t>
      </w:r>
    </w:p>
    <w:p>
      <w:pPr>
        <w:spacing w:after="0" w:line="172" w:lineRule="exact"/>
        <w:rPr>
          <w:sz w:val="20"/>
          <w:szCs w:val="20"/>
          <w:color w:val="auto"/>
        </w:rPr>
      </w:pPr>
    </w:p>
    <w:p>
      <w:pPr>
        <w:ind w:right="8600" w:firstLine="8"/>
        <w:spacing w:after="0" w:line="503" w:lineRule="auto"/>
        <w:tabs>
          <w:tab w:leader="none" w:pos="648"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15.1 Confidentiality obligation</w:t>
      </w: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Subject to clause 15.2, each party must treat as confidential, and keep confidential and not disclose, any Confidential Information provided to it by, or on behalf of, any other party and must:</w:t>
      </w:r>
    </w:p>
    <w:p>
      <w:pPr>
        <w:spacing w:after="0" w:line="162"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endeavours to protect the confidentiality of the Confidential Information;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15.4 not make any press or other announcements relating to Confidential Information.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Permitted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party may disclose Confidential Information provided to it by any other party other than:</w:t>
      </w:r>
    </w:p>
    <w:p>
      <w:pPr>
        <w:spacing w:after="0" w:line="225" w:lineRule="exact"/>
        <w:rPr>
          <w:sz w:val="20"/>
          <w:szCs w:val="20"/>
          <w:color w:val="auto"/>
        </w:rPr>
      </w:pPr>
    </w:p>
    <w:p>
      <w:pPr>
        <w:ind w:left="130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15.3, to its officers, employees, and advisers, auditors, financiers and to the legal advisers of its financial advisers or financiers;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15.3, with the prior written consent of the other party;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(including any mandatory Securities Exchange Commission filings);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any stock exchange (including NASDAQ);</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ind w:left="2600" w:hanging="648"/>
        <w:spacing w:after="0"/>
        <w:tabs>
          <w:tab w:leader="none" w:pos="26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requested by a Tax Authority in connection with a Tax Audit;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accounting standards;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ordered by any court,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having, to the extent practicable, consulted with the other party with a view to agreeing the form, content, timing and manner of disclosure, and to the maximum extent possible claimed any rights of confidentiality that it might be afforded under such laws, rules, standards or court orders.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Disclosure to other persons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 party discloses Confidential Information it must use reasonable endeavours to ensure that no person to whom it disclosed that Confidential Information discloses it to any other person.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b w:val="1"/>
          <w:bCs w:val="1"/>
          <w:color w:val="auto"/>
        </w:rPr>
        <w:t>Announcement</w:t>
      </w:r>
    </w:p>
    <w:p>
      <w:pPr>
        <w:spacing w:after="0" w:line="229" w:lineRule="exact"/>
        <w:rPr>
          <w:sz w:val="20"/>
          <w:szCs w:val="20"/>
          <w:color w:val="auto"/>
        </w:rPr>
      </w:pPr>
    </w:p>
    <w:p>
      <w:pPr>
        <w:jc w:val="both"/>
        <w:ind w:left="1300" w:hanging="644"/>
        <w:spacing w:after="0" w:line="266"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press releases and other public announcements relating in any way to this document must be in terms agreed by the Sellers’ Representative and the Buyer. The Sellers’ Representative and the Buyer have agreed that an announcement may be made in an agreed form after the date of this document.</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15.4(a) does not apply to an announcement, communication or circular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to the extent required by Law or the rules of any stock exchange provided that as soon as reasonably practicable prior to making such Disclosure, the party required to make the Disclosure consults with the other parties as to the form of the Disclosure.</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RESTRAINT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Non-compete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Subject to clause 16.2, each Restricted Party must not, directly or indirectly, and must procure that each of their Affiliates do not, during any of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Periods and within any of the Restricted Areas, do or attempt to do any of the following:</w:t>
      </w:r>
    </w:p>
    <w:p>
      <w:pPr>
        <w:spacing w:after="0" w:line="207"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promote, carry on, operate, or otherwise engage in (whether directly or indirectly) a Competing Business;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interested or concerned in (whether alone or in association with or in partnership with or as a member, shareholder, unitholder, director, principal, agent, beneficiary, partner, trustee, financier or in any other capacity) any entity conducting a Competing Business;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financial assistance to any entity which has any direct or indirect interest in a Competing Business;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entice, seek to solicit or entice, or accept an approach from, any person who is a customer of the Business (or was a customer of the Business in the 12 months prior to Completion) for the benefit of a Competing Business or with the intention or likely consequence of that customer ceasing or reducing the business it does or may other have done with the Business.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b w:val="1"/>
          <w:bCs w:val="1"/>
          <w:color w:val="auto"/>
        </w:rPr>
        <w:t>Application of clause 16.1 to Restricted Affiliates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Restricted Party must ensure that each of its Restricted Affiliates complies with clause 17.1 as though a reference to the Restricted Party were a reference to its Restricted Affiliate.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Exception to non-compete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Clause 16.1 does not prohibit the Restricted Party or any of the Restricted Affiliates from:</w:t>
      </w:r>
    </w:p>
    <w:p>
      <w:pPr>
        <w:spacing w:after="0" w:line="225"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securities in the Buyer;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employed or engaged by the Buyer or the Company after Completion as an employee or independent contractor;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up to a maximum of 5% of the issued capital of a body corporate or a unit trust listed on a recognised stock exchange, or being regarded as holding such an interest under the Corporations Act;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required or anticipated by this document, or any act otherwise undertaken with the prior written consent of the Buyer.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b w:val="1"/>
          <w:bCs w:val="1"/>
          <w:color w:val="auto"/>
        </w:rPr>
        <w:t>Non-solicitation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Subject to clause 16.6, each Restricted Party must not, directly or indirectly, during any of the Restricted Periods, do or attempt to do any of the following:</w:t>
      </w:r>
    </w:p>
    <w:p>
      <w:pPr>
        <w:spacing w:after="0" w:line="162" w:lineRule="exact"/>
        <w:rPr>
          <w:sz w:val="20"/>
          <w:szCs w:val="20"/>
          <w:color w:val="auto"/>
        </w:rPr>
      </w:pPr>
    </w:p>
    <w:p>
      <w:pPr>
        <w:ind w:left="1300" w:hanging="644"/>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entice any person who is an employee or contractor in respect of the Company to terminate his or her employment or contracting arrangement with the Company;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interfere to the detriment of the Company with the relationship between the Company and any of its suppliers, customers, employees or contractors.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7"/>
          <w:szCs w:val="17"/>
          <w:b w:val="1"/>
          <w:bCs w:val="1"/>
          <w:color w:val="auto"/>
        </w:rPr>
        <w:t>Application of clause 16.4 to Restricted Affiliates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Restricted Party must ensure that each of its Restricted Affiliates complies with clause 16.4 as though a reference to the Restricted Party were a reference to its Restricted Affiliate.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7"/>
          <w:szCs w:val="17"/>
          <w:b w:val="1"/>
          <w:bCs w:val="1"/>
          <w:color w:val="auto"/>
        </w:rPr>
        <w:t>Exceptions to non-solicitation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Clause 16.4 does not prohibit a Restricted Party, or Restricted Affiliates from employing any person who seeks employment at their own initiative or responds to a bona fide public advertisement concerning a vacant position that is not targeted specifically at that employee, officer or service provider.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7"/>
          <w:szCs w:val="17"/>
          <w:b w:val="1"/>
          <w:bCs w:val="1"/>
          <w:color w:val="auto"/>
        </w:rPr>
        <w:t>Restraints cumulative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of the restraints in clauses 16.1 and 16.4 resulting from the various combinations of the Restricted Periods and the Restraint Areas, is a separate, severable and independent restraint and:</w:t>
      </w:r>
    </w:p>
    <w:p>
      <w:pPr>
        <w:spacing w:after="0" w:line="162"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22.9 applies to each of those restraints;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of the restraints in clauses 16.1 or 16.4 does not affect the validity or enforceability of any of the other restraints in those clauses.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b w:val="1"/>
          <w:bCs w:val="1"/>
          <w:color w:val="auto"/>
        </w:rPr>
        <w:t>Acknowledgments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Restricted Party acknowledges and agrees that:</w:t>
      </w:r>
    </w:p>
    <w:p>
      <w:pPr>
        <w:spacing w:after="0" w:line="225" w:lineRule="exact"/>
        <w:rPr>
          <w:sz w:val="20"/>
          <w:szCs w:val="20"/>
          <w:color w:val="auto"/>
        </w:rPr>
      </w:pPr>
    </w:p>
    <w:p>
      <w:pPr>
        <w:ind w:left="1300" w:hanging="644"/>
        <w:spacing w:after="0" w:line="282" w:lineRule="auto"/>
        <w:tabs>
          <w:tab w:leader="none" w:pos="13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period prior to Completion, it had a high level of knowledge of, and influence over, customers, employees and other staff members of the Business;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regard to the circumstances contemplated in clause 16.8(a), each of the prohibitions and restrictions in this clause 16 is reasonable in the circumstances and necessary to protect the value of the Sale Shares, the goodwill and value of the Business, the confidential and proprietary information of the Company and the relationship (contractual or otherwise) between the Company (on the one hand) and each customer, supplier and personnel (on the other hand);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 valuable consideration will be received by it on Completion for each separate covenant and restraint in this clause 16;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are not be an adequate remedy if the Restrict Party breaches this clause 16;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or has had the opportunity to obtain, independent legal advice in relation to the contents and effect of this clause 16;</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apply for injunctive relief if the Restricted Party breaches or threatens to breach this clause 16 or the Buyer has reason to believe that the Restricted Party is likely to breach this clause 16;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require the Restricted Party to provide evidence confirming to the satisfaction of the Buyer that it is not in breach of any of the restrictions in this clause 16.</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GUARANTEE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Guarantee and indemnity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Parent Company unconditionally and irrevocably guarantees to the Sellers the due and punctual performance and observance by the Buyer of its obligation to pay the Purchase Price under this document.</w:t>
      </w:r>
    </w:p>
    <w:p>
      <w:pPr>
        <w:spacing w:after="0" w:line="158" w:lineRule="exact"/>
        <w:rPr>
          <w:sz w:val="20"/>
          <w:szCs w:val="20"/>
          <w:color w:val="auto"/>
        </w:rPr>
      </w:pPr>
    </w:p>
    <w:p>
      <w:pPr>
        <w:jc w:val="both"/>
        <w:ind w:right="9440" w:firstLine="8"/>
        <w:spacing w:after="0" w:line="503" w:lineRule="auto"/>
        <w:tabs>
          <w:tab w:leader="none" w:pos="648"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 18.1 Consideration</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Founder Guarantors acknowledge:</w:t>
      </w:r>
    </w:p>
    <w:p>
      <w:pPr>
        <w:spacing w:after="0" w:line="225"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this document in return for the Buyer agreeing to purchase the Sale Shares at the Founder Guarantors’ request and for other valuable consideration;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Buyer relies on the operation of this clause 17.</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Guarantee and indemnity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Founder Guarantors unconditionally and irrevocably:</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to the Buyer and the Company the due and punctual performance and observance by the Founder Sellers of all of the obligations contained in or implied under this document that must be performed and observed by the Founder Sellers (</w:t>
      </w:r>
      <w:r>
        <w:rPr>
          <w:rFonts w:ascii="Times New Roman" w:cs="Times New Roman" w:eastAsia="Times New Roman" w:hAnsi="Times New Roman"/>
          <w:sz w:val="18"/>
          <w:szCs w:val="18"/>
          <w:b w:val="1"/>
          <w:bCs w:val="1"/>
          <w:color w:val="auto"/>
        </w:rPr>
        <w:t>Guaranteed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ind w:left="1300" w:hanging="644"/>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indemnifies the Buyer and the Company against, and must pay on demand amounts equal to, any Liability of the Buyer and the Company in relation to:</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Guaranteed Obligation (or which would be or become a Guaranteed Obligation if enforceable, valid and not illegal) being or becoming unenforceable, invalid or illegal;</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Sellers failing, or being unable, to pay any amount or to perform any of its Guaranteed Obligations in accordance with this document;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that the Founder Sellers are required to pay in respect of its Guaranteed Obligations under this document not being recoverable from the Founder Seller,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for any reason and whether or not the Buyer knew or ought to have known about those matters.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Non-payment or non-performance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Founder Sellers do not:</w:t>
      </w:r>
    </w:p>
    <w:p>
      <w:pPr>
        <w:spacing w:after="0" w:line="225" w:lineRule="exact"/>
        <w:rPr>
          <w:sz w:val="20"/>
          <w:szCs w:val="20"/>
          <w:color w:val="auto"/>
        </w:rPr>
      </w:pPr>
    </w:p>
    <w:p>
      <w:pPr>
        <w:ind w:left="1300" w:right="20" w:hanging="644"/>
        <w:spacing w:after="0" w:line="282" w:lineRule="auto"/>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amount it is obliged to pay under the Guaranteed Obligations in accordance with this document, the Founder Guarantors must pay that amount on demand as if it was the Founder Seller;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of the other Guaranteed Obligations under this document, the Founder Guarantors must perform, or procure the performance of, those obligations (on demand by the Buyer) in accordance with this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b w:val="1"/>
          <w:bCs w:val="1"/>
          <w:color w:val="auto"/>
        </w:rPr>
        <w:t>Demands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demand under this clause 17 may be made at any time and from time to time, and need only specify the obligation to be fulfilled.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b w:val="1"/>
          <w:bCs w:val="1"/>
          <w:color w:val="auto"/>
        </w:rPr>
        <w:t>Immediate recourse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Founder Guarantors waive any right it may have to require the Buyer or the Company to proceed against, or enforce any other rights or claim payment from, any other person before claiming from the Founder Guarantors under this clause 17.</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8"/>
          <w:szCs w:val="18"/>
          <w:b w:val="1"/>
          <w:bCs w:val="1"/>
          <w:color w:val="auto"/>
        </w:rPr>
        <w:t>Continuing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guarantee and indemnity in this clause 17:</w:t>
      </w:r>
    </w:p>
    <w:p>
      <w:pPr>
        <w:spacing w:after="0" w:line="225" w:lineRule="exact"/>
        <w:rPr>
          <w:sz w:val="20"/>
          <w:szCs w:val="20"/>
          <w:color w:val="auto"/>
        </w:rPr>
      </w:pPr>
    </w:p>
    <w:p>
      <w:pPr>
        <w:ind w:left="1300" w:hanging="64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to the present and future balance of all the money payable by the Founder Sellers in connection with this document;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wholly or partially discharged by the payment of any amount payable by the Founder Sellers under this document or the settlement of any account by the Founder Sellers;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until all obligations of the Founder Sellers under this document have been completely fulfilled.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b w:val="1"/>
          <w:bCs w:val="1"/>
          <w:color w:val="auto"/>
        </w:rPr>
        <w:t>Extent of guarantee and indemnity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clause 17 applies and the obligations of the Founder Guarantors are not reduced or discharged by (whether or not a Founder Seller, the Buyer or the Company is aware of it or consents to it and despite any legal rule to the contrary):</w:t>
      </w:r>
    </w:p>
    <w:p>
      <w:pPr>
        <w:spacing w:after="0" w:line="162" w:lineRule="exact"/>
        <w:rPr>
          <w:sz w:val="20"/>
          <w:szCs w:val="20"/>
          <w:color w:val="auto"/>
        </w:rPr>
      </w:pPr>
    </w:p>
    <w:p>
      <w:pPr>
        <w:ind w:left="1300" w:hanging="644"/>
        <w:spacing w:after="0" w:line="282"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agreement, or amendment, novation or assignment of this document, whether with or without the Founder Guarantors’ knowledge or consent;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rule of law or equity to the contrary;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affecting a person or the death of a person;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constitution, membership, or partnership of a person;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partial performance of the Guaranteed Obligations;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or order being obtained or made against, or the conduct of any proceedings by, the Founder Seller or another person;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the Guaranteed Obligations, this document or any provision of this document being void, voidable, unenforceable (whether by reason of a legal limitation, disability or incapacity on the part of the Founder Seller and whether this document is void ab initio or is subsequently avoided), defective, released, waived, novated, enforced or impossible or illegal to perform;</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that the Founder Sellers are required to pay under this document not being recoverable;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non-exercise of any right, power, discretion or remedy of the Buyer or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set-off, combination of accounts or counterclaim;</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misrepresentation, negligence, breach of contract, misconduct, acquiescence, delay, waiver, mistake, failure to give notice or other action or inaction of any kind (whether or not prejudicial to the Founder Seller) by a party to this document or any other person;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or the Company granting any time or other indulgence or concession to, compounding or compromising with, or wholly or partially releasing the Founder Sellers or the Founder Guarantors of an obligation;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thing happening that might otherwise release, discharge or affect the obligations of the Founder Guarantor under this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8"/>
          <w:szCs w:val="18"/>
          <w:b w:val="1"/>
          <w:bCs w:val="1"/>
          <w:color w:val="auto"/>
        </w:rPr>
        <w:t>Principal and independent obligation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guarantee, indemnity and other obligation of the Founder Guarantors in this document is:</w:t>
      </w:r>
    </w:p>
    <w:p>
      <w:pPr>
        <w:spacing w:after="0" w:line="225" w:lineRule="exact"/>
        <w:rPr>
          <w:sz w:val="20"/>
          <w:szCs w:val="20"/>
          <w:color w:val="auto"/>
        </w:rPr>
      </w:pPr>
    </w:p>
    <w:p>
      <w:pPr>
        <w:ind w:left="1300" w:hanging="644"/>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principal obligation and is not to be treated as ancillary, collateral or limited by reference to another right or obligation;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and not in substitution for or affected by another security interest or guarantee or other document or agreement which the Buyer, the Company or another person may hold concerning the Guaranteed Obligations.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18.9</w:t>
      </w:r>
      <w:r>
        <w:rPr>
          <w:sz w:val="20"/>
          <w:szCs w:val="20"/>
          <w:color w:val="auto"/>
        </w:rPr>
        <w:tab/>
      </w:r>
      <w:r>
        <w:rPr>
          <w:rFonts w:ascii="Times New Roman" w:cs="Times New Roman" w:eastAsia="Times New Roman" w:hAnsi="Times New Roman"/>
          <w:sz w:val="17"/>
          <w:szCs w:val="17"/>
          <w:b w:val="1"/>
          <w:bCs w:val="1"/>
          <w:color w:val="auto"/>
        </w:rPr>
        <w:t>Deferral of certain rights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Until all Guaranteed Obligations have been performed, the Founder Guarantors may not (either directly or indirectly) without the Buyer’s prior written consent:</w:t>
      </w:r>
    </w:p>
    <w:p>
      <w:pPr>
        <w:spacing w:after="0" w:line="162" w:lineRule="exact"/>
        <w:rPr>
          <w:sz w:val="20"/>
          <w:szCs w:val="20"/>
          <w:color w:val="auto"/>
        </w:rPr>
      </w:pPr>
    </w:p>
    <w:p>
      <w:pPr>
        <w:ind w:left="1300" w:right="20" w:hanging="644"/>
        <w:spacing w:after="0" w:line="282"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exercise or attempt to exercise a right of set-off, counterclaim or any other right or raise any defence against the Founder Sellers which might reduce or discharge the Founder Guarantors’ Liability under this clause 17;</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or exercise a right of subrogation or contribution or otherwise claim the benefit of a security, irrespective of whether or not that security: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Guaranteed Obligations;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the Founder Guarantor;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favour or for the benefit of the Buyer or the Company;</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and any money a Guarantor receives in breach of this clause 18.9(b) must be paid promptly to the Buyer or the Company (as the case requires); or</w:t>
      </w:r>
    </w:p>
    <w:p>
      <w:pPr>
        <w:spacing w:after="0" w:line="162" w:lineRule="exact"/>
        <w:rPr>
          <w:sz w:val="20"/>
          <w:szCs w:val="20"/>
          <w:color w:val="auto"/>
        </w:rPr>
      </w:pPr>
    </w:p>
    <w:p>
      <w:pPr>
        <w:ind w:left="1300" w:hanging="644"/>
        <w:spacing w:after="0" w:line="282"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Buyer or the Company has given a direction to do so (in which case the Founder Guarantors must do so in accordance with the direction as trustee for the Buyer or the Company (as the case requires)):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 claim or exercise voting rights in the Founder Sellers’ liquidation, or otherwise claim or receive the benefit of any distribution, dividend or payment arising out of the Founder Sellers’ liquidation on any account;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or accept payment of, any money owed to the Founder Guarantor by the Founder Sellers,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any such money it receives must be paid promptly to the Buyer or the Company (as the case requires).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18.10</w:t>
      </w:r>
      <w:r>
        <w:rPr>
          <w:sz w:val="20"/>
          <w:szCs w:val="20"/>
          <w:color w:val="auto"/>
        </w:rPr>
        <w:tab/>
      </w:r>
      <w:r>
        <w:rPr>
          <w:rFonts w:ascii="Times New Roman" w:cs="Times New Roman" w:eastAsia="Times New Roman" w:hAnsi="Times New Roman"/>
          <w:sz w:val="17"/>
          <w:szCs w:val="17"/>
          <w:b w:val="1"/>
          <w:bCs w:val="1"/>
          <w:color w:val="auto"/>
        </w:rPr>
        <w:t>Prove in liquidation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Founder Guarantors irrevocably authorises the Buyer to prove in the liquidation or other relevant insolvency event affecting the Buyer for all money that the Founder Guarantor can claim against the Founder Seller on any account. The Buyer need only account to the Founder Guarantors for distributions it receives in excess of any Guaranteed Obligations, without interest.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18.11</w:t>
      </w:r>
      <w:r>
        <w:rPr>
          <w:sz w:val="20"/>
          <w:szCs w:val="20"/>
          <w:color w:val="auto"/>
        </w:rPr>
        <w:tab/>
      </w:r>
      <w:r>
        <w:rPr>
          <w:rFonts w:ascii="Times New Roman" w:cs="Times New Roman" w:eastAsia="Times New Roman" w:hAnsi="Times New Roman"/>
          <w:sz w:val="17"/>
          <w:szCs w:val="17"/>
          <w:b w:val="1"/>
          <w:bCs w:val="1"/>
          <w:color w:val="auto"/>
        </w:rPr>
        <w:t>Enforcement against Guarantor</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Buyer may enforce this clause 17 against the Founder Guarantors without first having to resort to another guarantee or security interest or other agreement relating to the Guaranteed Obligations.</w:t>
      </w:r>
    </w:p>
    <w:p>
      <w:pPr>
        <w:spacing w:after="0" w:line="158"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terms capitalised in clause 17 and not already defined in clause 1.1 have the same meaning as to those terms in the GST Act.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Financial Supply</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parties agree that the sale of the Sale Shares under this document constitutes a Financial Supply. Consequently, the Purchase Price is an Input-Taxed Supply under the GST Law and therefore, excludes any amount on account of GST.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Consideration is exclusive of GST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Notwithstanding clause 19.2 and unless otherwise expressly stated, all prices or other sums payable or all amounts paid or provided to be provided under or in accordance with this document are exclusive of GST.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b w:val="1"/>
          <w:bCs w:val="1"/>
          <w:color w:val="auto"/>
        </w:rPr>
        <w:t>Recipient to pay an additional amount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GST is imposed on any Supply made under or in accordance with this document and for which the consideration is not expressly stated to include GST, the Recipient of the Taxable Supply must pay to the Supplier an additional amount equal to the GST payable on or for the Taxable Supply.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b w:val="1"/>
          <w:bCs w:val="1"/>
          <w:color w:val="auto"/>
        </w:rPr>
        <w:t>Timing of GST payment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Subject to clause 19.6 the Recipient must pay the additional amount referred to in clause 19.4 at the same time as payment for the Taxable Supply is required to be made under or in accordance with this document or within five Business Days of the receipt of a Tax Invoice.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7"/>
          <w:szCs w:val="17"/>
          <w:b w:val="1"/>
          <w:bCs w:val="1"/>
          <w:color w:val="auto"/>
        </w:rPr>
        <w:t>Tax invoice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Supplier must deliver a Tax Invoice or an Adjustment Note to the Recipient at or before the time of the payment under or in accordance with this document before the Supplier is entitled to payment of an additional amount under clause 19.4. The Recipient can withhold payment of the amount until the Supplier provides a Tax Invoice or an Adjustment Note, as appropriate.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b w:val="1"/>
          <w:bCs w:val="1"/>
          <w:color w:val="auto"/>
        </w:rPr>
        <w:t>Reimbursement</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If this document requires a party to pay for, reimburse or contribute to any expense, loss or outgoing (</w:t>
      </w:r>
      <w:r>
        <w:rPr>
          <w:rFonts w:ascii="Times New Roman" w:cs="Times New Roman" w:eastAsia="Times New Roman" w:hAnsi="Times New Roman"/>
          <w:sz w:val="18"/>
          <w:szCs w:val="18"/>
          <w:b w:val="1"/>
          <w:bCs w:val="1"/>
          <w:color w:val="auto"/>
        </w:rPr>
        <w:t>Reimbursable Expense</w:t>
      </w:r>
      <w:r>
        <w:rPr>
          <w:rFonts w:ascii="Times New Roman" w:cs="Times New Roman" w:eastAsia="Times New Roman" w:hAnsi="Times New Roman"/>
          <w:sz w:val="18"/>
          <w:szCs w:val="18"/>
          <w:color w:val="auto"/>
        </w:rPr>
        <w:t>) suffered or incurred by another party, the amount required to be paid, reimbursed or contributed by the first party will be the amount of the Reimbursable Expense net of Input Tax Credits (if any) to which the other party is entitled in respect of the Reimbursable Expense plus any GST payable by the other party.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19.8</w:t>
      </w:r>
      <w:r>
        <w:rPr>
          <w:sz w:val="20"/>
          <w:szCs w:val="20"/>
          <w:color w:val="auto"/>
        </w:rPr>
        <w:tab/>
      </w:r>
      <w:r>
        <w:rPr>
          <w:rFonts w:ascii="Times New Roman" w:cs="Times New Roman" w:eastAsia="Times New Roman" w:hAnsi="Times New Roman"/>
          <w:sz w:val="18"/>
          <w:szCs w:val="18"/>
          <w:b w:val="1"/>
          <w:bCs w:val="1"/>
          <w:color w:val="auto"/>
        </w:rPr>
        <w:t>Adjustment events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at any time an Adjustment Event arises in respect of any Supply made by a party under this document, a corresponding Adjustment must be made between the parties in respect of any amount paid to the Supplier by the Recipient pursuant to clause 19.4 and payments to give effect to the Adjustment must be made and the Supplier must issue an Adjustment Note.</w:t>
      </w:r>
    </w:p>
    <w:p>
      <w:pPr>
        <w:spacing w:after="0" w:line="172"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b w:val="1"/>
          <w:bCs w:val="1"/>
          <w:color w:val="auto"/>
        </w:rPr>
        <w:t>Service of 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notice, demand, consent, approval, waiver or other communication under this document:</w:t>
      </w:r>
    </w:p>
    <w:p>
      <w:pPr>
        <w:spacing w:after="0" w:line="225" w:lineRule="exact"/>
        <w:rPr>
          <w:sz w:val="20"/>
          <w:szCs w:val="20"/>
          <w:color w:val="auto"/>
        </w:rPr>
      </w:pPr>
    </w:p>
    <w:p>
      <w:pPr>
        <w:ind w:left="5540" w:right="120" w:hanging="4884"/>
        <w:spacing w:after="0" w:line="657" w:lineRule="auto"/>
        <w:tabs>
          <w:tab w:leader="none" w:pos="131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in legible writing and in English directed to the recipient’s address for notices specified in the Details (as varied by any Notice);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ind w:left="1300" w:hanging="644"/>
        <w:spacing w:after="0" w:line="282" w:lineRule="auto"/>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hand delivered, left at or sent by prepaid post or email to the recipient’s address for notices specified in the Details (as varied by any Notice);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given by an agent of the sender.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Effective on receipt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Notice given in accordance with clause 20.1 takes effect when received (or at a later time specified in it), and is taken to be received:</w:t>
      </w:r>
    </w:p>
    <w:p>
      <w:pPr>
        <w:spacing w:after="0" w:line="225"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hand delivered or left at the recipient’s address, on delivery;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prepaid post, on the third Business Day after the date of posting, or the seventh Business Day after the date of posting if posted to or from outside Australia;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when received by the recipient’s email server (whether or not filtered or classified as unsolicited email or spam) unless the sender receives an automated message that delivery of the email has failed,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if the delivery or transmission under paragraph (a) or (c) is outside Business Hours, the Notice is taken to be received at the commencement of Business Hours after that delivery, receipt or transmission.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Process service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process or other document relating to litigation, administrative or arbitral proceedings in relation to this document may be served by any method contemplated by this clause in addition to any means authorised by Law.</w:t>
      </w:r>
    </w:p>
    <w:p>
      <w:pPr>
        <w:spacing w:after="0" w:line="158"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 BEFORE COMMENCEMENT OF PROCEEDINGS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must not commence court proceedings in respect of a dispute arising out of or in connection with this document, other than in respect of an Excluded Dispute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unless it has first complied with the remainder of this clause 21.</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Dispute arises, the party claiming that a Dispute has arisen must notify the other parties (giving details of the Dispute) and the parties must make every effort to resolve the Dispute by mutual negotiation followed by mediation in accordance with this clause 21.</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seven day period after a notice is given under clause 21(b) (or such longer period agreed to in writing by the parties to the Dispute) (</w:t>
      </w:r>
      <w:r>
        <w:rPr>
          <w:rFonts w:ascii="Times New Roman" w:cs="Times New Roman" w:eastAsia="Times New Roman" w:hAnsi="Times New Roman"/>
          <w:sz w:val="18"/>
          <w:szCs w:val="18"/>
          <w:b w:val="1"/>
          <w:bCs w:val="1"/>
          <w:color w:val="auto"/>
        </w:rPr>
        <w:t>Initial Period</w:t>
      </w:r>
      <w:r>
        <w:rPr>
          <w:rFonts w:ascii="Times New Roman" w:cs="Times New Roman" w:eastAsia="Times New Roman" w:hAnsi="Times New Roman"/>
          <w:sz w:val="18"/>
          <w:szCs w:val="18"/>
          <w:color w:val="auto"/>
        </w:rPr>
        <w:t>), each party must use its best efforts to resolve the Dispute through mutual negotiation between a representative from each party with authority to agree to a resolution of the Dispute.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are unable to reach a resolution of the Dispute by mutual negotiation of their representatives by the end of the Initial Period, each party agrees that the Dispute must be referred for mediation in accordance with the mediation guidelines published by the Resolution Institute, at the request of either party, to:</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mediator agreed on by the parties;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are unable to agree on a mediator within seven days after the end of the Initial Period, a mediator nominated by the Resolution Institute.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ind w:left="1300" w:hanging="644"/>
        <w:spacing w:after="0" w:line="282" w:lineRule="auto"/>
        <w:tabs>
          <w:tab w:leader="none" w:pos="13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role of any mediator is to assist in negotiating a resolution of the Dispute. A mediator may not make a decision that is binding on a party unless that party has so agreed in writing.</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or documents disclosed by a party under this clause 21 must be kept confidential, and may not be used for any purpose except to attempt to resolve the Dispute.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must bear its own costs of complying with this clause 21 and the costs of the mediator must be borne equally by the Founder Sellers, on the one hand, and the Buyer, on the other hand.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has complied with clauses 21(a) to 21(d) (both inclusive) and the Dispute has not been resolved within 21 days from the end of the Initial Period, then any party may terminate the dispute resolution process by giving written notice to the other parties.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document may only be amended in writing signed by each party.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Approvals, consents and exercise of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where this document expressly states otherwise, a party may:</w:t>
      </w:r>
    </w:p>
    <w:p>
      <w:pPr>
        <w:spacing w:after="0" w:line="225"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absolute discretion, give conditionally or unconditionally or withhold any approval or consent under this document;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 right at its discretion and separately or concurrently with another right.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party may only assign this document or a right under this document with the prior written consent of each other party.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8"/>
          <w:szCs w:val="18"/>
          <w:b w:val="1"/>
          <w:bCs w:val="1"/>
          <w:color w:val="auto"/>
        </w:rPr>
        <w:t>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clause 22.5, each party must bear its own costs in relation to, and associated with, this document and giving effect to this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8"/>
          <w:szCs w:val="18"/>
          <w:b w:val="1"/>
          <w:bCs w:val="1"/>
          <w:color w:val="auto"/>
        </w:rPr>
        <w:t>Duty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Buyer must pay all Duty in respect of the execution, delivery and performance of this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22.6</w:t>
      </w:r>
      <w:r>
        <w:rPr>
          <w:sz w:val="20"/>
          <w:szCs w:val="20"/>
          <w:color w:val="auto"/>
        </w:rPr>
        <w:tab/>
      </w:r>
      <w:r>
        <w:rPr>
          <w:rFonts w:ascii="Times New Roman" w:cs="Times New Roman" w:eastAsia="Times New Roman" w:hAnsi="Times New Roman"/>
          <w:sz w:val="18"/>
          <w:szCs w:val="18"/>
          <w:b w:val="1"/>
          <w:bCs w:val="1"/>
          <w:color w:val="auto"/>
        </w:rPr>
        <w:t>Not used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22.7</w:t>
      </w:r>
      <w:r>
        <w:rPr>
          <w:sz w:val="20"/>
          <w:szCs w:val="20"/>
          <w:color w:val="auto"/>
        </w:rPr>
        <w:tab/>
      </w:r>
      <w:r>
        <w:rPr>
          <w:rFonts w:ascii="Times New Roman" w:cs="Times New Roman" w:eastAsia="Times New Roman" w:hAnsi="Times New Roman"/>
          <w:sz w:val="17"/>
          <w:szCs w:val="17"/>
          <w:b w:val="1"/>
          <w:bCs w:val="1"/>
          <w:color w:val="auto"/>
        </w:rPr>
        <w:t>Further action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party must, at its own expense, do everything reasonably necessary to give full effect to this document (including executing documents) and to use all reasonable endeavours to cause relevant third parties to do likewise.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22.8</w:t>
      </w:r>
      <w:r>
        <w:rPr>
          <w:sz w:val="20"/>
          <w:szCs w:val="20"/>
          <w:color w:val="auto"/>
        </w:rPr>
        <w:tab/>
      </w:r>
      <w:r>
        <w:rPr>
          <w:rFonts w:ascii="Times New Roman" w:cs="Times New Roman" w:eastAsia="Times New Roman" w:hAnsi="Times New Roman"/>
          <w:sz w:val="17"/>
          <w:szCs w:val="17"/>
          <w:b w:val="1"/>
          <w:bCs w:val="1"/>
          <w:color w:val="auto"/>
        </w:rPr>
        <w:t>No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where this document expressly states otherwise, the rights and obligations of the parties under this document do not merge on Completion.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22.9</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whole or any part of a provision of this document is invalid or unenforceable in a jurisdiction it must, if possible, be read down for the purposes of that jurisdiction so as to be valid and enforceable. If however, the whole or any part of a provision of this document is not capable of being read down, it is severed to the extent of the invalidity or unenforceability without affecting the remaining provisions of this document or affecting the validity or enforceability of that provision in any other jurisdiction.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22.10</w:t>
      </w:r>
      <w:r>
        <w:rPr>
          <w:sz w:val="20"/>
          <w:szCs w:val="20"/>
          <w:color w:val="auto"/>
        </w:rPr>
        <w:tab/>
      </w:r>
      <w:r>
        <w:rPr>
          <w:rFonts w:ascii="Times New Roman" w:cs="Times New Roman" w:eastAsia="Times New Roman" w:hAnsi="Times New Roman"/>
          <w:sz w:val="17"/>
          <w:szCs w:val="17"/>
          <w:b w:val="1"/>
          <w:bCs w:val="1"/>
          <w:color w:val="auto"/>
        </w:rPr>
        <w:t>Survival</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Any obligation of confidentiality in this document is independent and survives termination of this document. Any other term which by its nature is intended to survive termination of this document survives termination of this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22.11</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 party does not waive a right, power or remedy if it fails to exercise or delays in exercising the right, power or remedy. A single or partial exercise by a party of a right, power or remedy does not prevent another or further exercise of that or another right, power or remedy. A waiver of a right, power or remedy must be by Notice and signed by the party giving the waiver.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22.12</w:t>
      </w:r>
      <w:r>
        <w:rPr>
          <w:sz w:val="20"/>
          <w:szCs w:val="20"/>
          <w:color w:val="auto"/>
        </w:rPr>
        <w:tab/>
      </w:r>
      <w:r>
        <w:rPr>
          <w:rFonts w:ascii="Times New Roman" w:cs="Times New Roman" w:eastAsia="Times New Roman" w:hAnsi="Times New Roman"/>
          <w:sz w:val="17"/>
          <w:szCs w:val="17"/>
          <w:b w:val="1"/>
          <w:bCs w:val="1"/>
          <w:color w:val="auto"/>
        </w:rPr>
        <w:t>Relationship</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Except where this document expressly states otherwise, this document does not create a relationship of employment, trust, agency or partnership between the parties.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22.13</w:t>
        <w:tab/>
        <w:t>Remedies cumulative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rights, powers and remedies provided in this document are cumulative with and not exclusive of the rights, powers or remedies provided by Law independently of this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22.14</w:t>
        <w:tab/>
        <w:t>Governing law</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document will be governed by and construed in accordance with the Laws for the time being in force in the State of Victoria and the parties, by entering into this document, are deemed to have submitted to the non-exclusive jurisdiction of the courts of that State.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22.15</w:t>
        <w:tab/>
        <w:t>Counterparts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document may be executed in counterparts and all executed counterparts together constitute one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22.16</w:t>
      </w:r>
      <w:r>
        <w:rPr>
          <w:sz w:val="20"/>
          <w:szCs w:val="20"/>
          <w:color w:val="auto"/>
        </w:rPr>
        <w:tab/>
      </w:r>
      <w:r>
        <w:rPr>
          <w:rFonts w:ascii="Times New Roman" w:cs="Times New Roman" w:eastAsia="Times New Roman" w:hAnsi="Times New Roman"/>
          <w:sz w:val="17"/>
          <w:szCs w:val="17"/>
          <w:b w:val="1"/>
          <w:bCs w:val="1"/>
          <w:color w:val="auto"/>
        </w:rPr>
        <w:t>Formation of Contract by Electronic Communications</w:t>
      </w:r>
    </w:p>
    <w:p>
      <w:pPr>
        <w:spacing w:after="0" w:line="229" w:lineRule="exact"/>
        <w:rPr>
          <w:sz w:val="20"/>
          <w:szCs w:val="20"/>
          <w:color w:val="auto"/>
        </w:rPr>
      </w:pPr>
    </w:p>
    <w:p>
      <w:pPr>
        <w:ind w:left="1300" w:hanging="644"/>
        <w:spacing w:after="0" w:line="282" w:lineRule="auto"/>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may enter into an agreement (that is, communicate its offer or acceptance), on the terms of this document, by emailing or faxing a copy of this document signed by that party, to the other party.</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party may sign this document by an electronic signature that meets the requirements for signature in the </w:t>
      </w:r>
      <w:r>
        <w:rPr>
          <w:rFonts w:ascii="Times New Roman" w:cs="Times New Roman" w:eastAsia="Times New Roman" w:hAnsi="Times New Roman"/>
          <w:sz w:val="18"/>
          <w:szCs w:val="18"/>
          <w:i w:val="1"/>
          <w:iCs w:val="1"/>
          <w:color w:val="auto"/>
        </w:rPr>
        <w:t>Electronic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(Victoria) Act 2000 </w:t>
      </w:r>
      <w:r>
        <w:rPr>
          <w:rFonts w:ascii="Times New Roman" w:cs="Times New Roman" w:eastAsia="Times New Roman" w:hAnsi="Times New Roman"/>
          <w:sz w:val="18"/>
          <w:szCs w:val="18"/>
          <w:color w:val="auto"/>
        </w:rPr>
        <w:t>(Vic).</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ind w:left="1300" w:right="20" w:hanging="644"/>
        <w:spacing w:after="0" w:line="282" w:lineRule="auto"/>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communicating its offer or acceptance by email or fax is taken to have consented to the agreement documented in this document being formed by electronic communication.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22.17</w:t>
      </w:r>
      <w:r>
        <w:rPr>
          <w:sz w:val="20"/>
          <w:szCs w:val="20"/>
          <w:color w:val="auto"/>
        </w:rPr>
        <w:tab/>
      </w:r>
      <w:r>
        <w:rPr>
          <w:rFonts w:ascii="Times New Roman" w:cs="Times New Roman" w:eastAsia="Times New Roman" w:hAnsi="Times New Roman"/>
          <w:sz w:val="17"/>
          <w:szCs w:val="17"/>
          <w:b w:val="1"/>
          <w:bCs w:val="1"/>
          <w:color w:val="auto"/>
        </w:rPr>
        <w:t>Limitation of liability of trustee</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which is a trustee for a trust enters into this document only in its capacity as trustee of the relevant trust and in no other capacity. A liability arising under or about this document is limited to, and can be enforced against a trustee only to, the extent to which a trustee is entitled to be indemnified for the liability by the relevant trust or can be satisfied out of property and assets of the relevant trust out of which the trustee is entitled to be indemnified for the liability. These limitations of liability apply despite any other provisions of this document and extend to all liabilities and obligations in any way connected with any representation, warranty, conduct, omission, agreement or transaction related to this document.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may sue any party which is a trustee for a trust in any capacity other than on behalf of the relevant trust, including seeking the appointment of a receiver, a liquidator, an administrator, or any similar person to the trustee (except for property of the relevant trust) or prove in any liquidation, administration or arrangement of or affecting the trustee (except for property of the relevant trust).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22.17 does not apply to any obligations or liabilities of a trustee to the extent that they are not satisfied because there is a reduction in the extent of the trustee’s indemnification out of the assets of the relevant trust as a result of the trustee’s dishonesty, negligence, wilful misconduct, breach of trust, breach of duty or fraud.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 or omission of a trustee (including any related failure to satisfy its obligations or breach of representation or warranty under this document) will be considered dishonesty, negligence, wilful misconduct, breach of trust, breach of duty or fraud of the trustee under clause 22.17(c) to the extent to which the act or omission was caused or contributed to by any failure by the settlor of the relevant trust or any other person to fulfil its obligations relating to the relevant trust or by any other act or omission of the settlor of the relevant trust or any other person.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attorney, agent, receiver or receiver and manager appointed under this document has authority to act on behalf of a trustee in a way which exposes the trustee to any personal liability and no act or omission of any appointed attorney, agent, receiver or receiver and manager will be considered dishonesty, negligence, wilful misconduct, breach of trust, breach of duty or fraud of the trustee under clause 22.17(c).</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is not obliged to do or refrain from doing anything under this document (including, without limitation, incur any liability) unless the trustee’s liability is limited in the same manner as set out in clauses 22.17(a) to 22.17(e).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jc w:val="right"/>
        <w:ind w:right="4059"/>
        <w:spacing w:after="0"/>
        <w:rPr>
          <w:sz w:val="20"/>
          <w:szCs w:val="20"/>
          <w:color w:val="auto"/>
        </w:rPr>
      </w:pPr>
      <w:r>
        <w:rPr>
          <w:rFonts w:ascii="Times New Roman" w:cs="Times New Roman" w:eastAsia="Times New Roman" w:hAnsi="Times New Roman"/>
          <w:sz w:val="22"/>
          <w:szCs w:val="22"/>
          <w:b w:val="1"/>
          <w:bCs w:val="1"/>
          <w:color w:val="auto"/>
        </w:rPr>
        <w:t>Execution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 deed.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Virtus Digital Marketing Pty Ltd ACN 158 692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356 </w:t>
      </w:r>
      <w:r>
        <w:rPr>
          <w:rFonts w:ascii="Times New Roman" w:cs="Times New Roman" w:eastAsia="Times New Roman" w:hAnsi="Times New Roman"/>
          <w:sz w:val="18"/>
          <w:szCs w:val="18"/>
          <w:color w:val="auto"/>
        </w:rPr>
        <w:t>in accordance with section 127(1) of the Corporations Act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(Cth):</w:t>
      </w:r>
    </w:p>
    <w:p>
      <w:pPr>
        <w:sectPr>
          <w:pgSz w:w="11900" w:h="16838" w:orient="portrait"/>
          <w:cols w:equalWidth="0" w:num="1">
            <w:col w:w="10139"/>
          </w:cols>
          <w:pgMar w:left="320" w:top="756"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ind w:right="6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b w:val="1"/>
          <w:bCs w:val="1"/>
          <w:color w:val="auto"/>
        </w:rPr>
        <w:t xml:space="preserve"> CXAI Australia Pty Ltd ACN 698 296 043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section 127(1) of the Corporations Act 2001 (Cth):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219"/>
        <w:spacing w:after="0"/>
        <w:rPr>
          <w:sz w:val="20"/>
          <w:szCs w:val="20"/>
          <w:color w:val="auto"/>
        </w:rPr>
      </w:pPr>
      <w:r>
        <w:rPr>
          <w:rFonts w:ascii="Times New Roman" w:cs="Times New Roman" w:eastAsia="Times New Roman" w:hAnsi="Times New Roman"/>
          <w:sz w:val="17"/>
          <w:szCs w:val="17"/>
          <w:color w:val="auto"/>
        </w:rPr>
        <w:t>Name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48" w:lineRule="exact"/>
        <w:rPr>
          <w:sz w:val="20"/>
          <w:szCs w:val="20"/>
          <w:color w:val="auto"/>
        </w:rPr>
      </w:pPr>
    </w:p>
    <w:p>
      <w:pPr>
        <w:sectPr>
          <w:pgSz w:w="11900" w:h="16838" w:orient="portrait"/>
          <w:cols w:equalWidth="0" w:num="2">
            <w:col w:w="5480" w:space="720"/>
            <w:col w:w="3939"/>
          </w:cols>
          <w:pgMar w:left="320" w:top="756"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CXApp Inc.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duly authorised representative 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Adam John Laurie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Signature of duly authorised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-120650</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KHURRAM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(BLOCK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9"/>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4599"/>
          </w:cols>
          <w:pgMar w:left="320" w:top="756" w:right="1440"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Roberto D’Alessandro </w:t>
      </w:r>
      <w:r>
        <w:rPr>
          <w:rFonts w:ascii="Times New Roman" w:cs="Times New Roman" w:eastAsia="Times New Roman" w:hAnsi="Times New Roman"/>
          <w:sz w:val="18"/>
          <w:szCs w:val="18"/>
          <w:color w:val="auto"/>
        </w:rPr>
        <w:t>in the presence of</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ind w:right="1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Adam Laurie as trustee for the Laurie Family Trust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presence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ind w:right="6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Ardent Bridge Investments Pty Ltd ACN 665 215 912</w:t>
      </w:r>
    </w:p>
    <w:p>
      <w:pPr>
        <w:spacing w:after="0" w:line="1" w:lineRule="exact"/>
        <w:rPr>
          <w:sz w:val="20"/>
          <w:szCs w:val="20"/>
          <w:color w:val="auto"/>
        </w:rPr>
      </w:pPr>
    </w:p>
    <w:p>
      <w:pPr>
        <w:ind w:right="8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as trustee for the D’Alessandro Family Trust </w:t>
      </w:r>
      <w:r>
        <w:rPr>
          <w:rFonts w:ascii="Times New Roman" w:cs="Times New Roman" w:eastAsia="Times New Roman" w:hAnsi="Times New Roman"/>
          <w:sz w:val="18"/>
          <w:szCs w:val="18"/>
          <w:color w:val="auto"/>
        </w:rPr>
        <w:t>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127(1) of the Corporations Act 2001 (Cth):</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Roberto D’Alessandro and Jessica Lee Bridge as trustees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Virtus Investment Fund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061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06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Roberto D’Alessandro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Jessica Lee 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2">
            <w:col w:w="5720" w:space="480"/>
            <w:col w:w="3939"/>
          </w:cols>
          <w:pgMar w:left="320" w:top="765"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Glenn Allpress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Penelope Allpress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Clerke Holdings Pty Ltd ACN 612 771 883 as trustee for the Chris Clerke Family Trust </w:t>
      </w:r>
      <w:r>
        <w:rPr>
          <w:rFonts w:ascii="Times New Roman" w:cs="Times New Roman" w:eastAsia="Times New Roman" w:hAnsi="Times New Roman"/>
          <w:sz w:val="18"/>
          <w:szCs w:val="18"/>
          <w:color w:val="auto"/>
        </w:rPr>
        <w:t>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127(1) of the Corporations Act 2001 (Cth):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Clerke Super Pty Ltd ACN 615 967 809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 trustee for Clerke Super Fund </w:t>
      </w:r>
      <w:r>
        <w:rPr>
          <w:rFonts w:ascii="Times New Roman" w:cs="Times New Roman" w:eastAsia="Times New Roman" w:hAnsi="Times New Roman"/>
          <w:sz w:val="18"/>
          <w:szCs w:val="18"/>
          <w:color w:val="auto"/>
        </w:rPr>
        <w:t>in accordance with section 127(1)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Corporations Act 2001 (Cth):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Craig Naidu as trustee for the Naidu Family Trust </w:t>
      </w:r>
      <w:r>
        <w:rPr>
          <w:rFonts w:ascii="Times New Roman" w:cs="Times New Roman" w:eastAsia="Times New Roman" w:hAnsi="Times New Roman"/>
          <w:sz w:val="18"/>
          <w:szCs w:val="18"/>
          <w:color w:val="auto"/>
        </w:rPr>
        <w:t>in the presence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Signature of sole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sole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Signature of sole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sole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20" w:space="520"/>
            <w:col w:w="4599"/>
          </w:cols>
          <w:pgMar w:left="320" w:top="765"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Robert Petreski as trustee for the Petreski Family Trust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presence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b w:val="1"/>
          <w:bCs w:val="1"/>
          <w:color w:val="auto"/>
        </w:rPr>
        <w:t xml:space="preserve"> RMMM Super Fund Pty Ltd ACN 629 726 496 as trustee for the RMMM Superannuation Fund </w:t>
      </w:r>
      <w:r>
        <w:rPr>
          <w:rFonts w:ascii="Times New Roman" w:cs="Times New Roman" w:eastAsia="Times New Roman" w:hAnsi="Times New Roman"/>
          <w:sz w:val="17"/>
          <w:szCs w:val="17"/>
          <w:color w:val="auto"/>
        </w:rPr>
        <w:t>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section 127(1) of the Corporations Act 2001 (Cth):</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TFS &amp; AHD Pty Ltd ACN 622 210 940 as trustee for TFS &amp; AHD Super Fund </w:t>
      </w:r>
      <w:r>
        <w:rPr>
          <w:rFonts w:ascii="Times New Roman" w:cs="Times New Roman" w:eastAsia="Times New Roman" w:hAnsi="Times New Roman"/>
          <w:sz w:val="18"/>
          <w:szCs w:val="18"/>
          <w:color w:val="auto"/>
        </w:rPr>
        <w:t>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127(1) of the Corporations Act 2001 (Cth):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Tom Shael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Name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Name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80" w:space="660"/>
            <w:col w:w="4599"/>
          </w:cols>
          <w:pgMar w:left="320" w:top="765" w:right="1440" w:bottom="1440" w:gutter="0" w:footer="0" w:header="0"/>
        </w:sectPr>
      </w:pPr>
    </w:p>
    <w:bookmarkStart w:id="67" w:name="page68"/>
    <w:bookmarkEnd w:id="67"/>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Dion Lovrecich Pty Ltd ACN 618 484 334 as trustee for Dion Lovrecich SMSF </w:t>
      </w:r>
      <w:r>
        <w:rPr>
          <w:rFonts w:ascii="Times New Roman" w:cs="Times New Roman" w:eastAsia="Times New Roman" w:hAnsi="Times New Roman"/>
          <w:sz w:val="18"/>
          <w:szCs w:val="18"/>
          <w:color w:val="auto"/>
        </w:rPr>
        <w:t>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127(1) of the Corporations Act 2001 (Cth):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Ali Irfanli</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as trustee for the Olivefarm Superannuation Fund </w:t>
      </w:r>
      <w:r>
        <w:rPr>
          <w:rFonts w:ascii="Times New Roman" w:cs="Times New Roman" w:eastAsia="Times New Roman" w:hAnsi="Times New Roman"/>
          <w:sz w:val="18"/>
          <w:szCs w:val="18"/>
          <w:color w:val="auto"/>
        </w:rPr>
        <w:t>in the presence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Ilmars Draudins as trustee for Ilmars Draudins Self Directed Executive Retirement Fund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Lester Abalos as trustee for Lester Abalos Super Fund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presence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Name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00" w:space="540"/>
            <w:col w:w="4599"/>
          </w:cols>
          <w:pgMar w:left="320" w:top="765"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Pitigala Pty Ltd ACN 620 816 391</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as trustee for TN3 Superannuation Fund </w:t>
      </w:r>
      <w:r>
        <w:rPr>
          <w:rFonts w:ascii="Times New Roman" w:cs="Times New Roman" w:eastAsia="Times New Roman" w:hAnsi="Times New Roman"/>
          <w:sz w:val="18"/>
          <w:szCs w:val="18"/>
          <w:color w:val="auto"/>
        </w:rPr>
        <w:t>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127(1) of the Corporations Act 2001 (Cth):</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Thilanga Pitigala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Emanuele Maragno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b w:val="1"/>
          <w:bCs w:val="1"/>
          <w:color w:val="auto"/>
        </w:rPr>
        <w:t xml:space="preserve"> Swanleigh Nominees Pty Ltd ACN 114 874 609 as trustee for Swanleigh Nominees Superannuation Fund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section 127(1) of the Corporations Act 2001 (Cth):</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Name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Signature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Name of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80" w:space="660"/>
            <w:col w:w="4599"/>
          </w:cols>
          <w:pgMar w:left="320" w:top="765" w:right="1440" w:bottom="1440" w:gutter="0" w:footer="0" w:header="0"/>
        </w:sectPr>
      </w:pPr>
    </w:p>
    <w:bookmarkStart w:id="69" w:name="page70"/>
    <w:bookmarkEnd w:id="69"/>
    <w:p>
      <w:pPr>
        <w:ind w:right="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L &amp; J Penn Investments Pty Ltd ACN 613 064 976</w:t>
      </w:r>
    </w:p>
    <w:p>
      <w:pPr>
        <w:spacing w:after="0" w:line="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as trustee for The Penn Family Trust </w:t>
      </w:r>
      <w:r>
        <w:rPr>
          <w:rFonts w:ascii="Times New Roman" w:cs="Times New Roman" w:eastAsia="Times New Roman" w:hAnsi="Times New Roman"/>
          <w:sz w:val="18"/>
          <w:szCs w:val="18"/>
          <w:color w:val="auto"/>
        </w:rPr>
        <w:t>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127(1) of the Corporations Act 2001 (Cth):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L &amp; J Penn Investments Pty Ltd ACN 613 064 976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 trustee for Penn Super Fund </w:t>
      </w:r>
      <w:r>
        <w:rPr>
          <w:rFonts w:ascii="Times New Roman" w:cs="Times New Roman" w:eastAsia="Times New Roman" w:hAnsi="Times New Roman"/>
          <w:sz w:val="18"/>
          <w:szCs w:val="18"/>
          <w:color w:val="auto"/>
        </w:rPr>
        <w:t>in accordance with section 127(1)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Corporations Act 2001 (Cth):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Spiel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Samantha Winnicki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Signature of sole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sole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Signature of sole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sole director /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32061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640"/>
            <w:col w:w="4599"/>
          </w:cols>
          <w:pgMar w:left="320" w:top="765"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Ashley Brock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Sheridan Draudins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Kim Collins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Julian Alexander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AND DELIVERED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Alexandre Piat </w:t>
      </w: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2061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2061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2061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206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2061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73" w:lineRule="exact"/>
        <w:rPr>
          <w:sz w:val="20"/>
          <w:szCs w:val="20"/>
          <w:color w:val="auto"/>
        </w:rPr>
      </w:pPr>
    </w:p>
    <w:p>
      <w:pPr>
        <w:sectPr>
          <w:pgSz w:w="11900" w:h="16838" w:orient="portrait"/>
          <w:cols w:equalWidth="0" w:num="2">
            <w:col w:w="5480" w:space="720"/>
            <w:col w:w="3939"/>
          </w:cols>
          <w:pgMar w:left="320" w:top="765" w:right="1440" w:bottom="1440" w:gutter="0" w:footer="0" w:header="0"/>
        </w:sectPr>
      </w:pPr>
    </w:p>
    <w:p>
      <w:pPr>
        <w:spacing w:after="0" w:line="1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1689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0"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5"/>
          <w:szCs w:val="25"/>
          <w:b w:val="1"/>
          <w:bCs w:val="1"/>
          <w:color w:val="auto"/>
        </w:rPr>
        <w:t>CXAI Acquires EngineRoom to Triple Annualized Revenue Run-Rate and Accelerate Commercialization of Agentic AI SKY Platform</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 Expected to Increase Annualized Revenue Run-Rate to More Than $12 Million, Add Approximately $1.6 Million of Adjusted EBITDA and Expand CXAI’s Reach Across Enterprise and Mid-Market Customers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PALO ALTO, CA </w:t>
      </w:r>
      <w:r>
        <w:rPr>
          <w:rFonts w:ascii="Times New Roman" w:cs="Times New Roman" w:eastAsia="Times New Roman" w:hAnsi="Times New Roman"/>
          <w:sz w:val="18"/>
          <w:szCs w:val="18"/>
          <w:b w:val="1"/>
          <w:bCs w:val="1"/>
          <w:color w:val="373737"/>
        </w:rPr>
        <w:t>/</w:t>
      </w:r>
      <w:r>
        <w:rPr>
          <w:rFonts w:ascii="Times New Roman" w:cs="Times New Roman" w:eastAsia="Times New Roman" w:hAnsi="Times New Roman"/>
          <w:sz w:val="18"/>
          <w:szCs w:val="18"/>
          <w:b w:val="1"/>
          <w:bCs w:val="1"/>
          <w:color w:val="auto"/>
        </w:rPr>
        <w:t xml:space="preserve"> June 3, 2026 </w:t>
      </w:r>
      <w:r>
        <w:rPr>
          <w:rFonts w:ascii="Times New Roman" w:cs="Times New Roman" w:eastAsia="Times New Roman" w:hAnsi="Times New Roman"/>
          <w:sz w:val="18"/>
          <w:szCs w:val="18"/>
          <w:b w:val="1"/>
          <w:bCs w:val="1"/>
          <w:color w:val="373737"/>
        </w:rPr>
        <w:t>/</w:t>
      </w:r>
      <w:r>
        <w:rPr>
          <w:rFonts w:ascii="Times New Roman" w:cs="Times New Roman" w:eastAsia="Times New Roman" w:hAnsi="Times New Roman"/>
          <w:sz w:val="18"/>
          <w:szCs w:val="18"/>
          <w:b w:val="1"/>
          <w:bCs w:val="1"/>
          <w:color w:val="auto"/>
        </w:rPr>
        <w:t xml:space="preserve"> CXApp Inc. (Nasdaq: CXAI) </w:t>
      </w:r>
      <w:r>
        <w:rPr>
          <w:rFonts w:ascii="Times New Roman" w:cs="Times New Roman" w:eastAsia="Times New Roman" w:hAnsi="Times New Roman"/>
          <w:sz w:val="18"/>
          <w:szCs w:val="18"/>
          <w:color w:val="auto"/>
        </w:rPr>
        <w:t>(“CXAI”), an enterprise agentic AI platform company, today announced the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b w:val="1"/>
          <w:bCs w:val="1"/>
          <w:color w:val="auto"/>
        </w:rPr>
        <w:t>EngineRoom</w:t>
      </w:r>
      <w:r>
        <w:rPr>
          <w:rFonts w:ascii="Times New Roman" w:cs="Times New Roman" w:eastAsia="Times New Roman" w:hAnsi="Times New Roman"/>
          <w:sz w:val="18"/>
          <w:szCs w:val="18"/>
          <w:color w:val="auto"/>
        </w:rPr>
        <w:t>, an AI-powered data-driven growth intelligence platform focused on customer acquisition intelligence, attribution analytics, workflow automation, operational reporting and business optimization.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acquisition is expected to increase CXAI’s annualized revenue run-rate from approximately $4 million to more than </w:t>
      </w:r>
      <w:r>
        <w:rPr>
          <w:rFonts w:ascii="Times New Roman" w:cs="Times New Roman" w:eastAsia="Times New Roman" w:hAnsi="Times New Roman"/>
          <w:sz w:val="18"/>
          <w:szCs w:val="18"/>
          <w:b w:val="1"/>
          <w:bCs w:val="1"/>
          <w:color w:val="auto"/>
        </w:rPr>
        <w:t>$12 million</w:t>
      </w:r>
      <w:r>
        <w:rPr>
          <w:rFonts w:ascii="Times New Roman" w:cs="Times New Roman" w:eastAsia="Times New Roman" w:hAnsi="Times New Roman"/>
          <w:sz w:val="18"/>
          <w:szCs w:val="18"/>
          <w:color w:val="auto"/>
        </w:rPr>
        <w:t xml:space="preserve"> while adding approximately </w:t>
      </w:r>
      <w:r>
        <w:rPr>
          <w:rFonts w:ascii="Times New Roman" w:cs="Times New Roman" w:eastAsia="Times New Roman" w:hAnsi="Times New Roman"/>
          <w:sz w:val="18"/>
          <w:szCs w:val="18"/>
          <w:b w:val="1"/>
          <w:bCs w:val="1"/>
          <w:color w:val="auto"/>
        </w:rPr>
        <w:t>$1.6 million</w:t>
      </w:r>
      <w:r>
        <w:rPr>
          <w:rFonts w:ascii="Times New Roman" w:cs="Times New Roman" w:eastAsia="Times New Roman" w:hAnsi="Times New Roman"/>
          <w:sz w:val="18"/>
          <w:szCs w:val="18"/>
          <w:color w:val="auto"/>
        </w:rPr>
        <w:t xml:space="preserve"> of adjusted EBITDA and significantly expanding the Company’s recurring revenue base.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EngineRoom is expected to generate approximately $8.1 million of annualized revenue, with approximately 94% recurring revenue and approximately $1.6 million of adjusted EBITDA. In addition, EngineRoom brings more than 50 customer relationships across a diverse base of mid-market organizations, creating an established platform through which CXAI can accelerate commercialization of Agentic AI SKY platform and future AI-powered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THIS COMBINATION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acquisition immediately expands CXAI’s revenue scale, profitability and recurring revenue base, creating a stronger foundation from which to accelerate growth and investment in future AI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EngineRoom’s customer relationships, mid-market presence and expertise across the Google ecosystem provide CXAI with an established channel through which to deploy SKY and future AI solutions without building distribution from the ground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AI Monetization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CXAI serves as an agentic operating layer that helps organizations improve productivity, automate workflows and optimize operational performance. EngineRoom extends those capabilities through growth intelligence solutions that improve customer acquisition, marketing effectiveness and business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the platforms create opportunities to expand solutions across both customer bases, accelerate adoption of CXAI SKY and develop industry-specific AI solutions designed to address the needs of underserved markets globally.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COMPLEMENTARY PLATFORMS CREATE A BROADER AI OPPORTUNITY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CXAI and EngineRoom bring highly complementary capabilities that expand the value each platform can deliver to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CXAI helps organizations improve operational efficiency, employee productivity and workplace performance through agentic AI, operational intelligence and workflow automation. EngineRoom helps organizations improve customer acquisition, marketing effectiveness and business performance through growth intelligence, attribution analytics and optimization.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the platforms provide customers with a more complete AI-powered operating layer across both operations and growth, enabling organizations to make better decisions, automate workflows, improve productivity and drive measurable business outcomes.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creates opportunities to expand solutions across both customer bases. Enterprise customers gain access to growth intelligence capabilities that improve customer acquisition and business performance, while EngineRoom customers gain access to enterprise-grade agentic AI, intelligent automation and operational intelligence capabilities through SKY and future AI offerings.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cross-selling opportunities, the transaction establishes a foundation for the development of industry-specific AI solutions. By combining operational intelligence, growth intelligence and agentic AI, CXAI intends to develop repeatable vertical AI solutions designed to address the unique needs of underserved markets across industries such as professional services, healthcare, financial services, technology, education and sports and entertainment.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approach creates a scalable pathway for broader AI adoption, recurring software revenue expansion and long-term global growth across both enterprise and mid-market organizations.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EXPANSION OPPORTUNITY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establishes a scalable platform through which CXAI can expand deployment of agentic AI solutions across new industries, customer segments and geographies.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CXAI’s enterprise-grade AI capabilities, combined with EngineRoom’s growth intelligence expertise and customer relationships, create a repeatable framework for delivering AI-powered solutions that improve productivity, operational performance and business growth outcomes.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 is expected to serve as a key platform for introducing future vertical AI solutions across both existing and new customer relationships globally.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GOOGLE ECOSYSTEM OPPORTUNITY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EngineRoom brings extensive expertise across Google Ads, Google Analytics, Google Cloud and related technologies.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Combined with CXAI’s existing Google Cloud initiatives and AI capabilities, the transaction expands opportunities to deliver AI-powered analytics, automation and business optimization solutions across a broader customer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CONTINUITY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EngineRoom Founder Adam Laurie has committed to remain with the business for a minimum of three years following closing.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Laurie will continue to lead the organization as General Manager of CXAI EngineRoom which will be a subsidiary of newly formed holding company CXAI Australia and will play a key role in expanding the Company’s growth intelligence and AI initiatives globally.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acquisition is about accelerating the next phase of CXAI,” said Khurram Sheikh, Chairman and Chief Executive Officer of CXApp.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AI is moving from point solutions and copilots into the operating layer of every modern organization. Our vision is for CXAI to become that agentic operating layer — helping organizations of all sizes automate work, improve productivity, optimize performance and make better decisions through intelligent agents.”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EngineRoom, we are expanding the reach of that vision. Its complementary capabilities and established customer channels give us a faster path to introduce CXAI SKY and future AI solutions to a broader market, while extending the value we can deliver across both operations and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see this as an important step toward building a global AI platform that can scale across enterprises, mid-market organizations and vertical markets. Our focus is on driving adoption, expanding recurring software revenue and helping customers compete more effectively in an AI-driven economy.”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Adam Laurie,</w:t>
      </w:r>
      <w:r>
        <w:rPr>
          <w:rFonts w:ascii="Times New Roman" w:cs="Times New Roman" w:eastAsia="Times New Roman" w:hAnsi="Times New Roman"/>
          <w:sz w:val="18"/>
          <w:szCs w:val="18"/>
          <w:color w:val="auto"/>
        </w:rPr>
        <w:t xml:space="preserve"> Founder of EngineRoom and incoming General Manager of CXAI EngineRoom, added: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“EngineRoom has always focused on helping customers make better decisions, acquire customers more efficiently and drive measurable business outcomes.”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excited to join CXAI to accelerate mid-market enterprise transformation with Agentic AI. Together, we can bring a new generation of AI-powered solutions to customers that improve productivity, automate workflows and help organizations grow more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CXApp Inc.</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CXApp Inc. is an enterprise agentic AI platform company focused on helping organizations improve productivity, automate workflows and enhance business performance through artificial intelligence.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platform combines operational intelligence, analytics, workplace technologies and intelligent automation to deliver measurable business outcomes across enterprise and mid-market organizations.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CXAI serves customers across technology, financial services, healthcare, media and other industries while expanding its AI capabilities through both organic growth and strategic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www.cxapp.com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CXApp Inc.: marketing@cxapp.com</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ability of the Company to successfully integrate acquired businesses, retain their customers and realize expected synergies, financial benefits and growth opportunities from acquisitions; the demand for the Company’s services together with the possibility that the Company may be adversely affected by other economic, business, and/or competitive factors or changes in the business environment in which the Company operates; changes in customer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w:t>
      </w:r>
      <w:r>
        <w:rPr>
          <w:rFonts w:ascii="Times New Roman" w:cs="Times New Roman" w:eastAsia="Times New Roman" w:hAnsi="Times New Roman"/>
          <w:sz w:val="18"/>
          <w:szCs w:val="18"/>
          <w:color w:val="auto"/>
        </w:rPr>
        <w:t>: CXApp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Topic: Mergers and Acquisitions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1"/>
      <w:numFmt w:val="decimal"/>
      <w:start w:val="104"/>
    </w:lvl>
  </w:abstractNum>
  <w:abstractNum w:abstractNumId="4">
    <w:nsid w:val="100F59DC"/>
    <w:multiLevelType w:val="hybridMultilevel"/>
    <w:lvl w:ilvl="0">
      <w:lvlJc w:val="left"/>
      <w:lvlText w:val="%1."/>
      <w:numFmt w:val="upperLetter"/>
      <w:start w:val="1"/>
    </w:lvl>
  </w:abstractNum>
  <w:abstractNum w:abstractNumId="5">
    <w:nsid w:val="7FB7E0AA"/>
    <w:multiLevelType w:val="hybridMultilevel"/>
    <w:lvl w:ilvl="0">
      <w:lvlJc w:val="left"/>
      <w:lvlText w:val="%1."/>
      <w:numFmt w:val="decimal"/>
      <w:start w:val="1"/>
    </w:lvl>
  </w:abstractNum>
  <w:abstractNum w:abstractNumId="6">
    <w:nsid w:val="6EB5BD4"/>
    <w:multiLevelType w:val="hybridMultilevel"/>
    <w:lvl w:ilvl="0">
      <w:lvlJc w:val="left"/>
      <w:lvlText w:val="(%1)"/>
      <w:numFmt w:val="lowerLetter"/>
      <w:start w:val="1"/>
    </w:lvl>
  </w:abstractNum>
  <w:abstractNum w:abstractNumId="7">
    <w:nsid w:val="6F6DD9AC"/>
    <w:multiLevelType w:val="hybridMultilevel"/>
    <w:lvl w:ilvl="0">
      <w:lvlJc w:val="left"/>
      <w:lvlText w:val="(%1)"/>
      <w:numFmt w:val="lowerLetter"/>
      <w:start w:val="1"/>
    </w:lvl>
  </w:abstractNum>
  <w:abstractNum w:abstractNumId="8">
    <w:nsid w:val="94211F2"/>
    <w:multiLevelType w:val="hybridMultilevel"/>
    <w:lvl w:ilvl="0">
      <w:lvlJc w:val="left"/>
      <w:lvlText w:val="(%1)"/>
      <w:numFmt w:val="lowerLetter"/>
      <w:start w:val="1"/>
    </w:lvl>
    <w:lvl w:ilvl="1">
      <w:lvlJc w:val="left"/>
      <w:lvlText w:val="(%2)"/>
      <w:numFmt w:val="lowerRoman"/>
      <w:start w:val="1"/>
    </w:lvl>
  </w:abstractNum>
  <w:abstractNum w:abstractNumId="9">
    <w:nsid w:val="885E1B"/>
    <w:multiLevelType w:val="hybridMultilevel"/>
    <w:lvl w:ilvl="0">
      <w:lvlJc w:val="left"/>
      <w:lvlText w:val="(%1)"/>
      <w:numFmt w:val="lowerLetter"/>
      <w:start w:val="8"/>
    </w:lvl>
    <w:lvl w:ilvl="1">
      <w:lvlJc w:val="left"/>
      <w:lvlText w:val="(%2)"/>
      <w:numFmt w:val="lowerRoman"/>
      <w:start w:val="1"/>
    </w:lvl>
  </w:abstractNum>
  <w:abstractNum w:abstractNumId="10">
    <w:nsid w:val="76272110"/>
    <w:multiLevelType w:val="hybridMultilevel"/>
    <w:lvl w:ilvl="0">
      <w:lvlJc w:val="left"/>
      <w:lvlText w:val="(%1)"/>
      <w:numFmt w:val="lowerLetter"/>
      <w:start w:val="1"/>
    </w:lvl>
  </w:abstractNum>
  <w:abstractNum w:abstractNumId="11">
    <w:nsid w:val="4C04A8AF"/>
    <w:multiLevelType w:val="hybridMultilevel"/>
    <w:lvl w:ilvl="0">
      <w:lvlJc w:val="left"/>
      <w:lvlText w:val="(%1)"/>
      <w:numFmt w:val="lowerLetter"/>
      <w:start w:val="5"/>
    </w:lvl>
  </w:abstractNum>
  <w:abstractNum w:abstractNumId="12">
    <w:nsid w:val="1716703B"/>
    <w:multiLevelType w:val="hybridMultilevel"/>
    <w:lvl w:ilvl="0">
      <w:lvlJc w:val="left"/>
      <w:lvlText w:val="(%1)"/>
      <w:numFmt w:val="lowerLetter"/>
      <w:start w:val="8"/>
    </w:lvl>
  </w:abstractNum>
  <w:abstractNum w:abstractNumId="13">
    <w:nsid w:val="14E17E33"/>
    <w:multiLevelType w:val="hybridMultilevel"/>
    <w:lvl w:ilvl="0">
      <w:lvlJc w:val="left"/>
      <w:lvlText w:val="(%1)"/>
      <w:numFmt w:val="lowerLetter"/>
      <w:start w:val="1"/>
    </w:lvl>
  </w:abstractNum>
  <w:abstractNum w:abstractNumId="14">
    <w:nsid w:val="3222E7CD"/>
    <w:multiLevelType w:val="hybridMultilevel"/>
    <w:lvl w:ilvl="0">
      <w:lvlJc w:val="left"/>
      <w:lvlText w:val="(%1)"/>
      <w:numFmt w:val="lowerLetter"/>
      <w:start w:val="1"/>
    </w:lvl>
  </w:abstractNum>
  <w:abstractNum w:abstractNumId="15">
    <w:nsid w:val="74DE0EE3"/>
    <w:multiLevelType w:val="hybridMultilevel"/>
    <w:lvl w:ilvl="0">
      <w:lvlJc w:val="left"/>
      <w:lvlText w:val="(%1)"/>
      <w:numFmt w:val="lowerLetter"/>
      <w:start w:val="3"/>
    </w:lvl>
  </w:abstractNum>
  <w:abstractNum w:abstractNumId="16">
    <w:nsid w:val="68EBC550"/>
    <w:multiLevelType w:val="hybridMultilevel"/>
    <w:lvl w:ilvl="0">
      <w:lvlJc w:val="left"/>
      <w:lvlText w:val="(%1)"/>
      <w:numFmt w:val="lowerLetter"/>
      <w:start w:val="1"/>
    </w:lvl>
  </w:abstractNum>
  <w:abstractNum w:abstractNumId="17">
    <w:nsid w:val="2DF6D648"/>
    <w:multiLevelType w:val="hybridMultilevel"/>
    <w:lvl w:ilvl="0">
      <w:lvlJc w:val="left"/>
      <w:lvlText w:val="(%1)"/>
      <w:numFmt w:val="lowerLetter"/>
      <w:start w:val="1"/>
    </w:lvl>
  </w:abstractNum>
  <w:abstractNum w:abstractNumId="18">
    <w:nsid w:val="46B7D447"/>
    <w:multiLevelType w:val="hybridMultilevel"/>
    <w:lvl w:ilvl="0">
      <w:lvlJc w:val="left"/>
      <w:lvlText w:val="(%1)"/>
      <w:numFmt w:val="lowerLetter"/>
      <w:start w:val="5"/>
    </w:lvl>
  </w:abstractNum>
  <w:abstractNum w:abstractNumId="19">
    <w:nsid w:val="4A2AC315"/>
    <w:multiLevelType w:val="hybridMultilevel"/>
    <w:lvl w:ilvl="0">
      <w:lvlJc w:val="left"/>
      <w:lvlText w:val="(%1)"/>
      <w:numFmt w:val="lowerLetter"/>
      <w:start w:val="1"/>
    </w:lvl>
  </w:abstractNum>
  <w:abstractNum w:abstractNumId="20">
    <w:nsid w:val="39EE015C"/>
    <w:multiLevelType w:val="hybridMultilevel"/>
    <w:lvl w:ilvl="0">
      <w:lvlJc w:val="left"/>
      <w:lvlText w:val="(%1)"/>
      <w:numFmt w:val="lowerLetter"/>
      <w:start w:val="2"/>
    </w:lvl>
  </w:abstractNum>
  <w:abstractNum w:abstractNumId="21">
    <w:nsid w:val="57FC4FBB"/>
    <w:multiLevelType w:val="hybridMultilevel"/>
    <w:lvl w:ilvl="0">
      <w:lvlJc w:val="left"/>
      <w:lvlText w:val="(%1)"/>
      <w:numFmt w:val="lowerLetter"/>
      <w:start w:val="1"/>
    </w:lvl>
  </w:abstractNum>
  <w:abstractNum w:abstractNumId="22">
    <w:nsid w:val="CC1016F"/>
    <w:multiLevelType w:val="hybridMultilevel"/>
    <w:lvl w:ilvl="0">
      <w:lvlJc w:val="left"/>
      <w:lvlText w:val="(%1)"/>
      <w:numFmt w:val="lowerLetter"/>
      <w:start w:val="1"/>
    </w:lvl>
  </w:abstractNum>
  <w:abstractNum w:abstractNumId="23">
    <w:nsid w:val="43F18422"/>
    <w:multiLevelType w:val="hybridMultilevel"/>
    <w:lvl w:ilvl="0">
      <w:lvlJc w:val="left"/>
      <w:lvlText w:val="(%1)"/>
      <w:numFmt w:val="lowerLetter"/>
      <w:start w:val="10"/>
    </w:lvl>
  </w:abstractNum>
  <w:abstractNum w:abstractNumId="24">
    <w:nsid w:val="60EF0119"/>
    <w:multiLevelType w:val="hybridMultilevel"/>
    <w:lvl w:ilvl="0">
      <w:lvlJc w:val="left"/>
      <w:lvlText w:val="(%1)"/>
      <w:numFmt w:val="lowerLetter"/>
      <w:start w:val="1"/>
    </w:lvl>
  </w:abstractNum>
  <w:abstractNum w:abstractNumId="25">
    <w:nsid w:val="26F324BA"/>
    <w:multiLevelType w:val="hybridMultilevel"/>
    <w:lvl w:ilvl="0">
      <w:lvlJc w:val="left"/>
      <w:lvlText w:val="(%1)"/>
      <w:numFmt w:val="lowerLetter"/>
      <w:start w:val="1"/>
    </w:lvl>
  </w:abstractNum>
  <w:abstractNum w:abstractNumId="26">
    <w:nsid w:val="7F01579B"/>
    <w:multiLevelType w:val="hybridMultilevel"/>
    <w:lvl w:ilvl="0">
      <w:lvlJc w:val="left"/>
      <w:lvlText w:val="(%1)"/>
      <w:numFmt w:val="lowerLetter"/>
      <w:start w:val="1"/>
    </w:lvl>
  </w:abstractNum>
  <w:abstractNum w:abstractNumId="27">
    <w:nsid w:val="49DA307D"/>
    <w:multiLevelType w:val="hybridMultilevel"/>
    <w:lvl w:ilvl="0">
      <w:lvlJc w:val="left"/>
      <w:lvlText w:val="(%1)"/>
      <w:numFmt w:val="lowerLetter"/>
      <w:start w:val="2"/>
    </w:lvl>
  </w:abstractNum>
  <w:abstractNum w:abstractNumId="28">
    <w:nsid w:val="7055A5F5"/>
    <w:multiLevelType w:val="hybridMultilevel"/>
    <w:lvl w:ilvl="0">
      <w:lvlJc w:val="left"/>
      <w:lvlText w:val="(%1)"/>
      <w:numFmt w:val="lowerLetter"/>
      <w:start w:val="1"/>
    </w:lvl>
  </w:abstractNum>
  <w:abstractNum w:abstractNumId="29">
    <w:nsid w:val="5FB8370B"/>
    <w:multiLevelType w:val="hybridMultilevel"/>
    <w:lvl w:ilvl="0">
      <w:lvlJc w:val="left"/>
      <w:lvlText w:val="(%1)"/>
      <w:numFmt w:val="lowerLetter"/>
      <w:start w:val="1"/>
    </w:lvl>
  </w:abstractNum>
  <w:abstractNum w:abstractNumId="30">
    <w:nsid w:val="50801EE1"/>
    <w:multiLevelType w:val="hybridMultilevel"/>
    <w:lvl w:ilvl="0">
      <w:lvlJc w:val="left"/>
      <w:lvlText w:val="(%1)"/>
      <w:numFmt w:val="lowerLetter"/>
      <w:start w:val="1"/>
    </w:lvl>
  </w:abstractNum>
  <w:abstractNum w:abstractNumId="31">
    <w:nsid w:val="488AC1A"/>
    <w:multiLevelType w:val="hybridMultilevel"/>
    <w:lvl w:ilvl="0">
      <w:lvlJc w:val="left"/>
      <w:lvlText w:val="(%1)"/>
      <w:numFmt w:val="lowerLetter"/>
      <w:start w:val="1"/>
    </w:lvl>
  </w:abstractNum>
  <w:abstractNum w:abstractNumId="32">
    <w:nsid w:val="5FB8011C"/>
    <w:multiLevelType w:val="hybridMultilevel"/>
    <w:lvl w:ilvl="0">
      <w:lvlJc w:val="left"/>
      <w:lvlText w:val="(%1)"/>
      <w:numFmt w:val="lowerLetter"/>
      <w:start w:val="1"/>
    </w:lvl>
  </w:abstractNum>
  <w:abstractNum w:abstractNumId="33">
    <w:nsid w:val="6AA78F7F"/>
    <w:multiLevelType w:val="hybridMultilevel"/>
    <w:lvl w:ilvl="0">
      <w:lvlJc w:val="left"/>
      <w:lvlText w:val="(%1)"/>
      <w:numFmt w:val="lowerLetter"/>
      <w:start w:val="2"/>
    </w:lvl>
  </w:abstractNum>
  <w:abstractNum w:abstractNumId="34">
    <w:nsid w:val="7672BD23"/>
    <w:multiLevelType w:val="hybridMultilevel"/>
    <w:lvl w:ilvl="0">
      <w:lvlJc w:val="left"/>
      <w:lvlText w:val="(%1)"/>
      <w:numFmt w:val="lowerLetter"/>
      <w:start w:val="1"/>
    </w:lvl>
  </w:abstractNum>
  <w:abstractNum w:abstractNumId="35">
    <w:nsid w:val="6FC75AF8"/>
    <w:multiLevelType w:val="hybridMultilevel"/>
    <w:lvl w:ilvl="0">
      <w:lvlJc w:val="left"/>
      <w:lvlText w:val="(%1)"/>
      <w:numFmt w:val="lowerLetter"/>
      <w:start w:val="1"/>
    </w:lvl>
  </w:abstractNum>
  <w:abstractNum w:abstractNumId="36">
    <w:nsid w:val="6A5F7029"/>
    <w:multiLevelType w:val="hybridMultilevel"/>
    <w:lvl w:ilvl="0">
      <w:lvlJc w:val="left"/>
      <w:lvlText w:val="(%1)"/>
      <w:numFmt w:val="lowerLetter"/>
      <w:start w:val="1"/>
    </w:lvl>
  </w:abstractNum>
  <w:abstractNum w:abstractNumId="37">
    <w:nsid w:val="7D5E18F8"/>
    <w:multiLevelType w:val="hybridMultilevel"/>
    <w:lvl w:ilvl="0">
      <w:lvlJc w:val="left"/>
      <w:lvlText w:val="(%1)"/>
      <w:numFmt w:val="lowerLetter"/>
      <w:start w:val="1"/>
    </w:lvl>
  </w:abstractNum>
  <w:abstractNum w:abstractNumId="38">
    <w:nsid w:val="5F3534A4"/>
    <w:multiLevelType w:val="hybridMultilevel"/>
    <w:lvl w:ilvl="0">
      <w:lvlJc w:val="left"/>
      <w:lvlText w:val="(%1)"/>
      <w:numFmt w:val="lowerLetter"/>
      <w:start w:val="1"/>
    </w:lvl>
  </w:abstractNum>
  <w:abstractNum w:abstractNumId="39">
    <w:nsid w:val="73A1821B"/>
    <w:multiLevelType w:val="hybridMultilevel"/>
    <w:lvl w:ilvl="0">
      <w:lvlJc w:val="left"/>
      <w:lvlText w:val="(%1)"/>
      <w:numFmt w:val="lowerLetter"/>
      <w:start w:val="1"/>
    </w:lvl>
  </w:abstractNum>
  <w:abstractNum w:abstractNumId="40">
    <w:nsid w:val="7DE67713"/>
    <w:multiLevelType w:val="hybridMultilevel"/>
    <w:lvl w:ilvl="0">
      <w:lvlJc w:val="left"/>
      <w:lvlText w:val="(%1)"/>
      <w:numFmt w:val="lowerLetter"/>
      <w:start w:val="1"/>
    </w:lvl>
  </w:abstractNum>
  <w:abstractNum w:abstractNumId="41">
    <w:nsid w:val="555C55B5"/>
    <w:multiLevelType w:val="hybridMultilevel"/>
    <w:lvl w:ilvl="0">
      <w:lvlJc w:val="left"/>
      <w:lvlText w:val="(%1)"/>
      <w:numFmt w:val="lowerLetter"/>
      <w:start w:val="1"/>
    </w:lvl>
  </w:abstractNum>
  <w:abstractNum w:abstractNumId="42">
    <w:nsid w:val="3FA62ACA"/>
    <w:multiLevelType w:val="hybridMultilevel"/>
    <w:lvl w:ilvl="0">
      <w:lvlJc w:val="left"/>
      <w:lvlText w:val="(%1)"/>
      <w:numFmt w:val="lowerLetter"/>
      <w:start w:val="1"/>
    </w:lvl>
  </w:abstractNum>
  <w:abstractNum w:abstractNumId="43">
    <w:nsid w:val="14FCE74E"/>
    <w:multiLevelType w:val="hybridMultilevel"/>
    <w:lvl w:ilvl="0">
      <w:lvlJc w:val="left"/>
      <w:lvlText w:val="(%1)"/>
      <w:numFmt w:val="lowerLetter"/>
      <w:start w:val="1"/>
    </w:lvl>
  </w:abstractNum>
  <w:abstractNum w:abstractNumId="44">
    <w:nsid w:val="6A3DD3E8"/>
    <w:multiLevelType w:val="hybridMultilevel"/>
    <w:lvl w:ilvl="0">
      <w:lvlJc w:val="left"/>
      <w:lvlText w:val="(%1)"/>
      <w:numFmt w:val="lowerLetter"/>
      <w:start w:val="1"/>
    </w:lvl>
  </w:abstractNum>
  <w:abstractNum w:abstractNumId="45">
    <w:nsid w:val="71C91298"/>
    <w:multiLevelType w:val="hybridMultilevel"/>
    <w:lvl w:ilvl="0">
      <w:lvlJc w:val="left"/>
      <w:lvlText w:val="(%1)"/>
      <w:numFmt w:val="lowerLetter"/>
      <w:start w:val="1"/>
    </w:lvl>
  </w:abstractNum>
  <w:abstractNum w:abstractNumId="46">
    <w:nsid w:val="9DAF632"/>
    <w:multiLevelType w:val="hybridMultilevel"/>
    <w:lvl w:ilvl="0">
      <w:lvlJc w:val="left"/>
      <w:lvlText w:val="(%1)"/>
      <w:numFmt w:val="lowerLetter"/>
      <w:start w:val="1"/>
    </w:lvl>
    <w:lvl w:ilvl="1">
      <w:lvlJc w:val="left"/>
      <w:lvlText w:val="(%2)"/>
      <w:numFmt w:val="lowerRoman"/>
      <w:start w:val="1"/>
    </w:lvl>
  </w:abstractNum>
  <w:abstractNum w:abstractNumId="47">
    <w:nsid w:val="53299938"/>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48">
    <w:nsid w:val="1FBFE8E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9">
    <w:nsid w:val="5092CA79"/>
    <w:multiLevelType w:val="hybridMultilevel"/>
    <w:lvl w:ilvl="0">
      <w:lvlJc w:val="left"/>
      <w:lvlText w:val="%1"/>
      <w:numFmt w:val="lowerLetter"/>
      <w:start w:val="1"/>
    </w:lvl>
    <w:lvl w:ilvl="1">
      <w:lvlJc w:val="left"/>
      <w:lvlText w:val="(%2)"/>
      <w:numFmt w:val="lowerRoman"/>
      <w:start w:val="6"/>
    </w:lvl>
  </w:abstractNum>
  <w:abstractNum w:abstractNumId="50">
    <w:nsid w:val="1D545C4D"/>
    <w:multiLevelType w:val="hybridMultilevel"/>
    <w:lvl w:ilvl="0">
      <w:lvlJc w:val="left"/>
      <w:lvlText w:val="(%1)"/>
      <w:numFmt w:val="lowerLetter"/>
      <w:start w:val="8"/>
    </w:lvl>
    <w:lvl w:ilvl="1">
      <w:lvlJc w:val="left"/>
      <w:lvlText w:val="%2"/>
      <w:numFmt w:val="lowerRoman"/>
      <w:start w:val="1"/>
    </w:lvl>
  </w:abstractNum>
  <w:abstractNum w:abstractNumId="51">
    <w:nsid w:val="59ADEA3D"/>
    <w:multiLevelType w:val="hybridMultilevel"/>
    <w:lvl w:ilvl="0">
      <w:lvlJc w:val="left"/>
      <w:lvlText w:val="(%1)"/>
      <w:numFmt w:val="lowerLetter"/>
      <w:start w:val="1"/>
    </w:lvl>
    <w:lvl w:ilvl="1">
      <w:lvlJc w:val="left"/>
      <w:lvlText w:val="(%2)"/>
      <w:numFmt w:val="lowerRoman"/>
      <w:start w:val="1"/>
    </w:lvl>
  </w:abstractNum>
  <w:abstractNum w:abstractNumId="52">
    <w:nsid w:val="288F1A34"/>
    <w:multiLevelType w:val="hybridMultilevel"/>
    <w:lvl w:ilvl="0">
      <w:lvlJc w:val="left"/>
      <w:lvlText w:val="(%1)"/>
      <w:numFmt w:val="lowerLetter"/>
      <w:start w:val="1"/>
    </w:lvl>
    <w:lvl w:ilvl="1">
      <w:lvlJc w:val="left"/>
      <w:lvlText w:val="(%2)"/>
      <w:numFmt w:val="lowerRoman"/>
      <w:start w:val="1"/>
    </w:lvl>
  </w:abstractNum>
  <w:abstractNum w:abstractNumId="53">
    <w:nsid w:val="2A155DBC"/>
    <w:multiLevelType w:val="hybridMultilevel"/>
    <w:lvl w:ilvl="0">
      <w:lvlJc w:val="left"/>
      <w:lvlText w:val="%1"/>
      <w:numFmt w:val="decimal"/>
      <w:start w:val="1"/>
    </w:lvl>
    <w:lvl w:ilvl="1">
      <w:lvlJc w:val="left"/>
      <w:lvlText w:val="(%2)"/>
      <w:numFmt w:val="lowerLetter"/>
      <w:start w:val="2"/>
    </w:lvl>
  </w:abstractNum>
  <w:abstractNum w:abstractNumId="54">
    <w:nsid w:val="1D9F6E5F"/>
    <w:multiLevelType w:val="hybridMultilevel"/>
    <w:lvl w:ilvl="0">
      <w:lvlJc w:val="left"/>
      <w:lvlText w:val="%1."/>
      <w:numFmt w:val="decimal"/>
      <w:start w:val="2"/>
    </w:lvl>
    <w:lvl w:ilvl="1">
      <w:lvlJc w:val="left"/>
      <w:lvlText w:val="%2"/>
      <w:numFmt w:val="lowerLetter"/>
      <w:start w:val="1"/>
    </w:lvl>
  </w:abstractNum>
  <w:abstractNum w:abstractNumId="55">
    <w:nsid w:val="97E1B4E"/>
    <w:multiLevelType w:val="hybridMultilevel"/>
    <w:lvl w:ilvl="0">
      <w:lvlJc w:val="left"/>
      <w:lvlText w:val="(%1)"/>
      <w:numFmt w:val="lowerLetter"/>
      <w:start w:val="1"/>
    </w:lvl>
  </w:abstractNum>
  <w:abstractNum w:abstractNumId="56">
    <w:nsid w:val="51088277"/>
    <w:multiLevelType w:val="hybridMultilevel"/>
    <w:lvl w:ilvl="0">
      <w:lvlJc w:val="left"/>
      <w:lvlText w:val="(%1)"/>
      <w:numFmt w:val="lowerLetter"/>
      <w:start w:val="1"/>
    </w:lvl>
  </w:abstractNum>
  <w:abstractNum w:abstractNumId="57">
    <w:nsid w:val="1CA0C5FA"/>
    <w:multiLevelType w:val="hybridMultilevel"/>
    <w:lvl w:ilvl="0">
      <w:lvlJc w:val="left"/>
      <w:lvlText w:val="%1."/>
      <w:numFmt w:val="decimal"/>
      <w:start w:val="3"/>
    </w:lvl>
  </w:abstractNum>
  <w:abstractNum w:abstractNumId="58">
    <w:nsid w:val="53584BCB"/>
    <w:multiLevelType w:val="hybridMultilevel"/>
    <w:lvl w:ilvl="0">
      <w:lvlJc w:val="left"/>
      <w:lvlText w:val="(%1)"/>
      <w:numFmt w:val="lowerLetter"/>
      <w:start w:val="1"/>
    </w:lvl>
  </w:abstractNum>
  <w:abstractNum w:abstractNumId="59">
    <w:nsid w:val="415E286C"/>
    <w:multiLevelType w:val="hybridMultilevel"/>
    <w:lvl w:ilvl="0">
      <w:lvlJc w:val="left"/>
      <w:lvlText w:val="(%1)"/>
      <w:numFmt w:val="lowerLetter"/>
      <w:start w:val="1"/>
    </w:lvl>
    <w:lvl w:ilvl="1">
      <w:lvlJc w:val="left"/>
      <w:lvlText w:val="(%2)"/>
      <w:numFmt w:val="lowerRoman"/>
      <w:start w:val="1"/>
    </w:lvl>
  </w:abstractNum>
  <w:abstractNum w:abstractNumId="60">
    <w:nsid w:val="7C58FD05"/>
    <w:multiLevelType w:val="hybridMultilevel"/>
    <w:lvl w:ilvl="0">
      <w:lvlJc w:val="left"/>
      <w:lvlText w:val="(%1)"/>
      <w:numFmt w:val="lowerLetter"/>
      <w:start w:val="1"/>
    </w:lvl>
    <w:lvl w:ilvl="1">
      <w:lvlJc w:val="left"/>
      <w:lvlText w:val="(%2)"/>
      <w:numFmt w:val="lowerRoman"/>
      <w:start w:val="1"/>
    </w:lvl>
  </w:abstractNum>
  <w:abstractNum w:abstractNumId="61">
    <w:nsid w:val="23D86AAC"/>
    <w:multiLevelType w:val="hybridMultilevel"/>
    <w:lvl w:ilvl="0">
      <w:lvlJc w:val="left"/>
      <w:lvlText w:val="(%1)"/>
      <w:numFmt w:val="lowerLetter"/>
      <w:start w:val="1"/>
    </w:lvl>
  </w:abstractNum>
  <w:abstractNum w:abstractNumId="62">
    <w:nsid w:val="45E6D486"/>
    <w:multiLevelType w:val="hybridMultilevel"/>
    <w:lvl w:ilvl="0">
      <w:lvlJc w:val="left"/>
      <w:lvlText w:val="(%1)"/>
      <w:numFmt w:val="lowerLetter"/>
      <w:start w:val="1"/>
    </w:lvl>
  </w:abstractNum>
  <w:abstractNum w:abstractNumId="63">
    <w:nsid w:val="5C10FE21"/>
    <w:multiLevelType w:val="hybridMultilevel"/>
    <w:lvl w:ilvl="0">
      <w:lvlJc w:val="left"/>
      <w:lvlText w:val="(%1)"/>
      <w:numFmt w:val="lowerLetter"/>
      <w:start w:val="1"/>
    </w:lvl>
    <w:lvl w:ilvl="1">
      <w:lvlJc w:val="left"/>
      <w:lvlText w:val="(%2)"/>
      <w:numFmt w:val="lowerRoman"/>
      <w:start w:val="1"/>
    </w:lvl>
  </w:abstractNum>
  <w:abstractNum w:abstractNumId="64">
    <w:nsid w:val="E7FFA2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3C5991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6">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
    <w:nsid w:val="78DF6A55"/>
    <w:multiLevelType w:val="hybridMultilevel"/>
    <w:lvl w:ilvl="0">
      <w:lvlJc w:val="left"/>
      <w:lvlText w:val="(%1)"/>
      <w:numFmt w:val="lowerLetter"/>
      <w:start w:val="1"/>
    </w:lvl>
  </w:abstractNum>
  <w:abstractNum w:abstractNumId="68">
    <w:nsid w:val="39B7AAA2"/>
    <w:multiLevelType w:val="hybridMultilevel"/>
    <w:lvl w:ilvl="0">
      <w:lvlJc w:val="left"/>
      <w:lvlText w:val="(%1)"/>
      <w:numFmt w:val="lowerLetter"/>
      <w:start w:val="1"/>
    </w:lvl>
  </w:abstractNum>
  <w:abstractNum w:abstractNumId="69">
    <w:nsid w:val="2B0D8DBE"/>
    <w:multiLevelType w:val="hybridMultilevel"/>
    <w:lvl w:ilvl="0">
      <w:lvlJc w:val="left"/>
      <w:lvlText w:val="(%1)"/>
      <w:numFmt w:val="lowerLetter"/>
      <w:start w:val="6"/>
    </w:lvl>
  </w:abstractNum>
  <w:abstractNum w:abstractNumId="70">
    <w:nsid w:val="6C80EC70"/>
    <w:multiLevelType w:val="hybridMultilevel"/>
    <w:lvl w:ilvl="0">
      <w:lvlJc w:val="left"/>
      <w:lvlText w:val="%1"/>
      <w:numFmt w:val="decimal"/>
      <w:start w:val="1"/>
    </w:lvl>
    <w:lvl w:ilvl="1">
      <w:lvlJc w:val="left"/>
      <w:lvlText w:val="(%2)"/>
      <w:numFmt w:val="lowerLetter"/>
      <w:start w:val="1"/>
    </w:lvl>
  </w:abstractNum>
  <w:abstractNum w:abstractNumId="71">
    <w:nsid w:val="379E21B5"/>
    <w:multiLevelType w:val="hybridMultilevel"/>
    <w:lvl w:ilvl="0">
      <w:lvlJc w:val="left"/>
      <w:lvlText w:val="%1."/>
      <w:numFmt w:val="decimal"/>
      <w:start w:val="5"/>
    </w:lvl>
    <w:lvl w:ilvl="1">
      <w:lvlJc w:val="left"/>
      <w:lvlText w:val="%2"/>
      <w:numFmt w:val="lowerLetter"/>
      <w:start w:val="1"/>
    </w:lvl>
  </w:abstractNum>
  <w:abstractNum w:abstractNumId="72">
    <w:nsid w:val="69E373"/>
    <w:multiLevelType w:val="hybridMultilevel"/>
    <w:lvl w:ilvl="0">
      <w:lvlJc w:val="left"/>
      <w:lvlText w:val="(%1)"/>
      <w:numFmt w:val="lowerLetter"/>
      <w:start w:val="1"/>
    </w:lvl>
  </w:abstractNum>
  <w:abstractNum w:abstractNumId="73">
    <w:nsid w:val="2C27173B"/>
    <w:multiLevelType w:val="hybridMultilevel"/>
    <w:lvl w:ilvl="0">
      <w:lvlJc w:val="left"/>
      <w:lvlText w:val="(%1)"/>
      <w:numFmt w:val="lowerLetter"/>
      <w:start w:val="1"/>
    </w:lvl>
  </w:abstractNum>
  <w:abstractNum w:abstractNumId="74">
    <w:nsid w:val="4C9B0904"/>
    <w:multiLevelType w:val="hybridMultilevel"/>
    <w:lvl w:ilvl="0">
      <w:lvlJc w:val="left"/>
      <w:lvlText w:val="%1"/>
      <w:numFmt w:val="lowerLetter"/>
      <w:start w:val="1"/>
    </w:lvl>
    <w:lvl w:ilvl="1">
      <w:lvlJc w:val="left"/>
      <w:lvlText w:val="(%2)"/>
      <w:numFmt w:val="lowerRoman"/>
      <w:start w:val="1"/>
    </w:lvl>
  </w:abstractNum>
  <w:abstractNum w:abstractNumId="75">
    <w:nsid w:val="6AA7B75C"/>
    <w:multiLevelType w:val="hybridMultilevel"/>
    <w:lvl w:ilvl="0">
      <w:lvlJc w:val="left"/>
      <w:lvlText w:val="(%1)"/>
      <w:numFmt w:val="lowerLetter"/>
      <w:start w:val="2"/>
    </w:lvl>
    <w:lvl w:ilvl="1">
      <w:lvlJc w:val="left"/>
      <w:lvlText w:val="%2"/>
      <w:numFmt w:val="lowerRoman"/>
      <w:start w:val="1"/>
    </w:lvl>
  </w:abstractNum>
  <w:abstractNum w:abstractNumId="76">
    <w:nsid w:val="1DF029D3"/>
    <w:multiLevelType w:val="hybridMultilevel"/>
    <w:lvl w:ilvl="0">
      <w:lvlJc w:val="left"/>
      <w:lvlText w:val="(%1)"/>
      <w:numFmt w:val="lowerLetter"/>
      <w:start w:val="1"/>
    </w:lvl>
  </w:abstractNum>
  <w:abstractNum w:abstractNumId="77">
    <w:nsid w:val="5675FF36"/>
    <w:multiLevelType w:val="hybridMultilevel"/>
    <w:lvl w:ilvl="0">
      <w:lvlJc w:val="left"/>
      <w:lvlText w:val="(%1)"/>
      <w:numFmt w:val="lowerLetter"/>
      <w:start w:val="1"/>
    </w:lvl>
    <w:lvl w:ilvl="1">
      <w:lvlJc w:val="left"/>
      <w:lvlText w:val="(%2)"/>
      <w:numFmt w:val="lowerRoman"/>
      <w:start w:val="1"/>
    </w:lvl>
  </w:abstractNum>
  <w:abstractNum w:abstractNumId="78">
    <w:nsid w:val="3DD15094"/>
    <w:multiLevelType w:val="hybridMultilevel"/>
    <w:lvl w:ilvl="0">
      <w:lvlJc w:val="left"/>
      <w:lvlText w:val="%1"/>
      <w:numFmt w:val="decimal"/>
      <w:start w:val="1"/>
    </w:lvl>
    <w:lvl w:ilvl="1">
      <w:lvlJc w:val="left"/>
      <w:lvlText w:val="(%2)"/>
      <w:numFmt w:val="lowerLetter"/>
      <w:start w:val="5"/>
    </w:lvl>
  </w:abstractNum>
  <w:abstractNum w:abstractNumId="79">
    <w:nsid w:val="3DB012B3"/>
    <w:multiLevelType w:val="hybridMultilevel"/>
    <w:lvl w:ilvl="0">
      <w:lvlJc w:val="left"/>
      <w:lvlText w:val="%1."/>
      <w:numFmt w:val="decimal"/>
      <w:start w:val="6"/>
    </w:lvl>
    <w:lvl w:ilvl="1">
      <w:lvlJc w:val="left"/>
      <w:lvlText w:val="%2"/>
      <w:numFmt w:val="lowerLetter"/>
      <w:start w:val="1"/>
    </w:lvl>
  </w:abstractNum>
  <w:abstractNum w:abstractNumId="80">
    <w:nsid w:val="2708C9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1">
    <w:nsid w:val="5B25ACE2"/>
    <w:multiLevelType w:val="hybridMultilevel"/>
    <w:lvl w:ilvl="0">
      <w:lvlJc w:val="left"/>
      <w:lvlText w:val="(%1)"/>
      <w:numFmt w:val="lowerLetter"/>
      <w:start w:val="3"/>
    </w:lvl>
    <w:lvl w:ilvl="1">
      <w:lvlJc w:val="left"/>
      <w:lvlText w:val="(%2)"/>
      <w:numFmt w:val="lowerRoman"/>
      <w:start w:val="1"/>
    </w:lvl>
  </w:abstractNum>
  <w:abstractNum w:abstractNumId="82">
    <w:nsid w:val="175DFCF0"/>
    <w:multiLevelType w:val="hybridMultilevel"/>
    <w:lvl w:ilvl="0">
      <w:lvlJc w:val="left"/>
      <w:lvlText w:val="(%1)"/>
      <w:numFmt w:val="lowerLetter"/>
      <w:start w:val="1"/>
    </w:lvl>
  </w:abstractNum>
  <w:abstractNum w:abstractNumId="83">
    <w:nsid w:val="4F97E3E4"/>
    <w:multiLevelType w:val="hybridMultilevel"/>
    <w:lvl w:ilvl="0">
      <w:lvlJc w:val="left"/>
      <w:lvlText w:val="(%1)"/>
      <w:numFmt w:val="lowerLetter"/>
      <w:start w:val="1"/>
    </w:lvl>
    <w:lvl w:ilvl="1">
      <w:lvlJc w:val="left"/>
      <w:lvlText w:val="(%2)"/>
      <w:numFmt w:val="lowerRoman"/>
      <w:start w:val="1"/>
    </w:lvl>
  </w:abstractNum>
  <w:abstractNum w:abstractNumId="84">
    <w:nsid w:val="53B0A9E"/>
    <w:multiLevelType w:val="hybridMultilevel"/>
    <w:lvl w:ilvl="0">
      <w:lvlJc w:val="left"/>
      <w:lvlText w:val="%1."/>
      <w:numFmt w:val="decimal"/>
      <w:start w:val="7"/>
    </w:lvl>
  </w:abstractNum>
  <w:abstractNum w:abstractNumId="85">
    <w:nsid w:val="34FD6B4F"/>
    <w:multiLevelType w:val="hybridMultilevel"/>
    <w:lvl w:ilvl="0">
      <w:lvlJc w:val="left"/>
      <w:lvlText w:val="(%1)"/>
      <w:numFmt w:val="lowerLetter"/>
      <w:start w:val="1"/>
    </w:lvl>
  </w:abstractNum>
  <w:abstractNum w:abstractNumId="86">
    <w:nsid w:val="5915FF32"/>
    <w:multiLevelType w:val="hybridMultilevel"/>
    <w:lvl w:ilvl="0">
      <w:lvlJc w:val="left"/>
      <w:lvlText w:val="(%1)"/>
      <w:numFmt w:val="lowerLetter"/>
      <w:start w:val="1"/>
    </w:lvl>
  </w:abstractNum>
  <w:abstractNum w:abstractNumId="87">
    <w:nsid w:val="56438D1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8">
    <w:nsid w:val="519E3149"/>
    <w:multiLevelType w:val="hybridMultilevel"/>
    <w:lvl w:ilvl="0">
      <w:lvlJc w:val="left"/>
      <w:lvlText w:val="(%1)"/>
      <w:numFmt w:val="lowerLetter"/>
      <w:start w:val="1"/>
    </w:lvl>
  </w:abstractNum>
  <w:abstractNum w:abstractNumId="89">
    <w:nsid w:val="2C6E4AFD"/>
    <w:multiLevelType w:val="hybridMultilevel"/>
    <w:lvl w:ilvl="0">
      <w:lvlJc w:val="left"/>
      <w:lvlText w:val="(%1)"/>
      <w:numFmt w:val="lowerLetter"/>
      <w:start w:val="1"/>
    </w:lvl>
    <w:lvl w:ilvl="1">
      <w:lvlJc w:val="left"/>
      <w:lvlText w:val="(%2)"/>
      <w:numFmt w:val="lowerRoman"/>
      <w:start w:val="1"/>
    </w:lvl>
  </w:abstractNum>
  <w:abstractNum w:abstractNumId="90">
    <w:nsid w:val="17A1B582"/>
    <w:multiLevelType w:val="hybridMultilevel"/>
    <w:lvl w:ilvl="0">
      <w:lvlJc w:val="left"/>
      <w:lvlText w:val="(%1)"/>
      <w:numFmt w:val="lowerLetter"/>
      <w:start w:val="3"/>
    </w:lvl>
  </w:abstractNum>
  <w:abstractNum w:abstractNumId="91">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2">
    <w:nsid w:val="5046B5A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3">
    <w:nsid w:val="5D888A08"/>
    <w:multiLevelType w:val="hybridMultilevel"/>
    <w:lvl w:ilvl="0">
      <w:lvlJc w:val="left"/>
      <w:lvlText w:val="(%1)"/>
      <w:numFmt w:val="lowerLetter"/>
      <w:start w:val="1"/>
    </w:lvl>
  </w:abstractNum>
  <w:abstractNum w:abstractNumId="94">
    <w:nsid w:val="2A082C70"/>
    <w:multiLevelType w:val="hybridMultilevel"/>
    <w:lvl w:ilvl="0">
      <w:lvlJc w:val="left"/>
      <w:lvlText w:val="%1"/>
      <w:numFmt w:val="decimal"/>
      <w:start w:val="1"/>
    </w:lvl>
    <w:lvl w:ilvl="1">
      <w:lvlJc w:val="left"/>
      <w:lvlText w:val="(%2)"/>
      <w:numFmt w:val="lowerLetter"/>
      <w:start w:val="5"/>
    </w:lvl>
  </w:abstractNum>
  <w:abstractNum w:abstractNumId="95">
    <w:nsid w:val="5EC6AFD4"/>
    <w:multiLevelType w:val="hybridMultilevel"/>
    <w:lvl w:ilvl="0">
      <w:lvlJc w:val="left"/>
      <w:lvlText w:val="%1."/>
      <w:numFmt w:val="decimal"/>
      <w:start w:val="10"/>
    </w:lvl>
    <w:lvl w:ilvl="1">
      <w:lvlJc w:val="left"/>
      <w:lvlText w:val="%2"/>
      <w:numFmt w:val="lowerLetter"/>
      <w:start w:val="1"/>
    </w:lvl>
  </w:abstractNum>
  <w:abstractNum w:abstractNumId="96">
    <w:nsid w:val="19E21BB2"/>
    <w:multiLevelType w:val="hybridMultilevel"/>
    <w:lvl w:ilvl="0">
      <w:lvlJc w:val="left"/>
      <w:lvlText w:val="(%1)"/>
      <w:numFmt w:val="lowerLetter"/>
      <w:start w:val="1"/>
    </w:lvl>
    <w:lvl w:ilvl="1">
      <w:lvlJc w:val="left"/>
      <w:lvlText w:val="(%2)"/>
      <w:numFmt w:val="lowerRoman"/>
      <w:start w:val="1"/>
    </w:lvl>
  </w:abstractNum>
  <w:abstractNum w:abstractNumId="97">
    <w:nsid w:val="75E0858A"/>
    <w:multiLevelType w:val="hybridMultilevel"/>
    <w:lvl w:ilvl="0">
      <w:lvlJc w:val="left"/>
      <w:lvlText w:val="(%1)"/>
      <w:numFmt w:val="lowerLetter"/>
      <w:start w:val="1"/>
    </w:lvl>
  </w:abstractNum>
  <w:abstractNum w:abstractNumId="98">
    <w:nsid w:val="57A61A29"/>
    <w:multiLevelType w:val="hybridMultilevel"/>
    <w:lvl w:ilvl="0">
      <w:lvlJc w:val="left"/>
      <w:lvlText w:val="(%1)"/>
      <w:numFmt w:val="lowerLetter"/>
      <w:start w:val="3"/>
    </w:lvl>
  </w:abstractNum>
  <w:abstractNum w:abstractNumId="99">
    <w:nsid w:val="5399C654"/>
    <w:multiLevelType w:val="hybridMultilevel"/>
    <w:lvl w:ilvl="0">
      <w:lvlJc w:val="left"/>
      <w:lvlText w:val="(%1)"/>
      <w:numFmt w:val="lowerLetter"/>
      <w:start w:val="1"/>
    </w:lvl>
    <w:lvl w:ilvl="1">
      <w:lvlJc w:val="left"/>
      <w:lvlText w:val="(%2)"/>
      <w:numFmt w:val="lowerRoman"/>
      <w:start w:val="1"/>
    </w:lvl>
  </w:abstractNum>
  <w:abstractNum w:abstractNumId="100">
    <w:nsid w:val="20EE1348"/>
    <w:multiLevelType w:val="hybridMultilevel"/>
    <w:lvl w:ilvl="0">
      <w:lvlJc w:val="left"/>
      <w:lvlText w:val="(%1)"/>
      <w:numFmt w:val="lowerLetter"/>
      <w:start w:val="1"/>
    </w:lvl>
  </w:abstractNum>
  <w:abstractNum w:abstractNumId="101">
    <w:nsid w:val="4427069A"/>
    <w:multiLevelType w:val="hybridMultilevel"/>
    <w:lvl w:ilvl="0">
      <w:lvlJc w:val="left"/>
      <w:lvlText w:val="(%1)"/>
      <w:numFmt w:val="lowerLetter"/>
      <w:start w:val="1"/>
    </w:lvl>
  </w:abstractNum>
  <w:abstractNum w:abstractNumId="102">
    <w:nsid w:val="B37E80A"/>
    <w:multiLevelType w:val="hybridMultilevel"/>
    <w:lvl w:ilvl="0">
      <w:lvlJc w:val="left"/>
      <w:lvlText w:val="(%1)"/>
      <w:numFmt w:val="lowerLetter"/>
      <w:start w:val="2"/>
    </w:lvl>
  </w:abstractNum>
  <w:abstractNum w:abstractNumId="103">
    <w:nsid w:val="2157F6BC"/>
    <w:multiLevelType w:val="hybridMultilevel"/>
    <w:lvl w:ilvl="0">
      <w:lvlJc w:val="left"/>
      <w:lvlText w:val="(%1)"/>
      <w:numFmt w:val="lowerRoman"/>
      <w:start w:val="1"/>
    </w:lvl>
  </w:abstractNum>
  <w:abstractNum w:abstractNumId="104">
    <w:nsid w:val="704E1DD5"/>
    <w:multiLevelType w:val="hybridMultilevel"/>
    <w:lvl w:ilvl="0">
      <w:lvlJc w:val="left"/>
      <w:lvlText w:val="(%1)"/>
      <w:numFmt w:val="lowerLetter"/>
      <w:start w:val="1"/>
    </w:lvl>
  </w:abstractNum>
  <w:abstractNum w:abstractNumId="105">
    <w:nsid w:val="57D2F10E"/>
    <w:multiLevelType w:val="hybridMultilevel"/>
    <w:lvl w:ilvl="0">
      <w:lvlJc w:val="left"/>
      <w:lvlText w:val="(%1)"/>
      <w:numFmt w:val="lowerLetter"/>
      <w:start w:val="1"/>
    </w:lvl>
    <w:lvl w:ilvl="1">
      <w:lvlJc w:val="left"/>
      <w:lvlText w:val="(%2)"/>
      <w:numFmt w:val="lowerRoman"/>
      <w:start w:val="1"/>
    </w:lvl>
  </w:abstractNum>
  <w:abstractNum w:abstractNumId="106">
    <w:nsid w:val="BFFAE18"/>
    <w:multiLevelType w:val="hybridMultilevel"/>
    <w:lvl w:ilvl="0">
      <w:lvlJc w:val="left"/>
      <w:lvlText w:val="(%1)"/>
      <w:numFmt w:val="lowerLetter"/>
      <w:start w:val="5"/>
    </w:lvl>
  </w:abstractNum>
  <w:abstractNum w:abstractNumId="107">
    <w:nsid w:val="E3E47A8"/>
    <w:multiLevelType w:val="hybridMultilevel"/>
    <w:lvl w:ilvl="0">
      <w:lvlJc w:val="left"/>
      <w:lvlText w:val="(%1)"/>
      <w:numFmt w:val="lowerLetter"/>
      <w:start w:val="1"/>
    </w:lvl>
  </w:abstractNum>
  <w:abstractNum w:abstractNumId="108">
    <w:nsid w:val="2E48F044"/>
    <w:multiLevelType w:val="hybridMultilevel"/>
    <w:lvl w:ilvl="0">
      <w:lvlJc w:val="left"/>
      <w:lvlText w:val="(%1)"/>
      <w:numFmt w:val="lowerLetter"/>
      <w:start w:val="1"/>
    </w:lvl>
  </w:abstractNum>
  <w:abstractNum w:abstractNumId="109">
    <w:nsid w:val="49D0FEAC"/>
    <w:multiLevelType w:val="hybridMultilevel"/>
    <w:lvl w:ilvl="0">
      <w:lvlJc w:val="left"/>
      <w:lvlText w:val="%1."/>
      <w:numFmt w:val="decimal"/>
      <w:start w:val="11"/>
    </w:lvl>
    <w:lvl w:ilvl="1">
      <w:lvlJc w:val="left"/>
      <w:lvlText w:val="(%2)"/>
      <w:numFmt w:val="lowerLetter"/>
      <w:start w:val="1"/>
    </w:lvl>
  </w:abstractNum>
  <w:abstractNum w:abstractNumId="110">
    <w:nsid w:val="4BEE5A5B"/>
    <w:multiLevelType w:val="hybridMultilevel"/>
    <w:lvl w:ilvl="0">
      <w:lvlJc w:val="left"/>
      <w:lvlText w:val="(%1)"/>
      <w:numFmt w:val="lowerLetter"/>
      <w:start w:val="1"/>
    </w:lvl>
    <w:lvl w:ilvl="1">
      <w:lvlJc w:val="left"/>
      <w:lvlText w:val="(%2)"/>
      <w:numFmt w:val="lowerRoman"/>
      <w:start w:val="1"/>
    </w:lvl>
  </w:abstractNum>
  <w:abstractNum w:abstractNumId="111">
    <w:nsid w:val="5551B9F3"/>
    <w:multiLevelType w:val="hybridMultilevel"/>
    <w:lvl w:ilvl="0">
      <w:lvlJc w:val="left"/>
      <w:lvlText w:val="(%1)"/>
      <w:numFmt w:val="lowerLetter"/>
      <w:start w:val="3"/>
    </w:lvl>
    <w:lvl w:ilvl="1">
      <w:lvlJc w:val="left"/>
      <w:lvlText w:val="(%2)"/>
      <w:numFmt w:val="lowerRoman"/>
      <w:start w:val="1"/>
    </w:lvl>
  </w:abstractNum>
  <w:abstractNum w:abstractNumId="112">
    <w:nsid w:val="24F6AB8E"/>
    <w:multiLevelType w:val="hybridMultilevel"/>
    <w:lvl w:ilvl="0">
      <w:lvlJc w:val="left"/>
      <w:lvlText w:val="(%1)"/>
      <w:numFmt w:val="lowerLetter"/>
      <w:start w:val="1"/>
    </w:lvl>
    <w:lvl w:ilvl="1">
      <w:lvlJc w:val="left"/>
      <w:lvlText w:val="(%2)"/>
      <w:numFmt w:val="lowerRoman"/>
      <w:start w:val="1"/>
    </w:lvl>
  </w:abstractNum>
  <w:abstractNum w:abstractNumId="113">
    <w:nsid w:val="634C574C"/>
    <w:multiLevelType w:val="hybridMultilevel"/>
    <w:lvl w:ilvl="0">
      <w:lvlJc w:val="left"/>
      <w:lvlText w:val="(%1)"/>
      <w:numFmt w:val="lowerLetter"/>
      <w:start w:val="1"/>
    </w:lvl>
    <w:lvl w:ilvl="1">
      <w:lvlJc w:val="left"/>
      <w:lvlText w:val="(%2)"/>
      <w:numFmt w:val="lowerRoman"/>
      <w:start w:val="1"/>
    </w:lvl>
  </w:abstractNum>
  <w:abstractNum w:abstractNumId="114">
    <w:nsid w:val="24E99DD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5">
    <w:nsid w:val="2A31B62D"/>
    <w:multiLevelType w:val="hybridMultilevel"/>
    <w:lvl w:ilvl="0">
      <w:lvlJc w:val="left"/>
      <w:lvlText w:val="(%1)"/>
      <w:numFmt w:val="upperLetter"/>
      <w:start w:val="3"/>
    </w:lvl>
  </w:abstractNum>
  <w:abstractNum w:abstractNumId="116">
    <w:nsid w:val="1849C29B"/>
    <w:multiLevelType w:val="hybridMultilevel"/>
    <w:lvl w:ilvl="0">
      <w:lvlJc w:val="left"/>
      <w:lvlText w:val="(%1)"/>
      <w:numFmt w:val="lowerLetter"/>
      <w:start w:val="1"/>
    </w:lvl>
    <w:lvl w:ilvl="1">
      <w:lvlJc w:val="left"/>
      <w:lvlText w:val="(%2)"/>
      <w:numFmt w:val="lowerRoman"/>
      <w:start w:val="1"/>
    </w:lvl>
  </w:abstractNum>
  <w:abstractNum w:abstractNumId="117">
    <w:nsid w:val="7DFF9D0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8">
    <w:nsid w:val="754342"/>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19">
    <w:nsid w:val="69E7F3E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0">
    <w:nsid w:val="2A6DE806"/>
    <w:multiLevelType w:val="hybridMultilevel"/>
    <w:lvl w:ilvl="0">
      <w:lvlJc w:val="left"/>
      <w:lvlText w:val="(%1)"/>
      <w:numFmt w:val="lowerRoman"/>
      <w:start w:val="4"/>
    </w:lvl>
    <w:lvl w:ilvl="1">
      <w:lvlJc w:val="left"/>
      <w:lvlText w:val="(%2)"/>
      <w:numFmt w:val="upperLetter"/>
      <w:start w:val="1"/>
    </w:lvl>
  </w:abstractNum>
  <w:abstractNum w:abstractNumId="121">
    <w:nsid w:val="1816F8C4"/>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lvl w:ilvl="3">
      <w:lvlJc w:val="left"/>
      <w:lvlText w:val="%4)"/>
      <w:numFmt w:val="lowerRoman"/>
      <w:start w:val="1"/>
    </w:lvl>
  </w:abstractNum>
  <w:abstractNum w:abstractNumId="122">
    <w:nsid w:val="37DF223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lvl w:ilvl="3">
      <w:lvlJc w:val="left"/>
      <w:lvlText w:val="%4"/>
      <w:numFmt w:val="lowerRoman"/>
      <w:start w:val="1"/>
    </w:lvl>
  </w:abstractNum>
  <w:abstractNum w:abstractNumId="123">
    <w:nsid w:val="7AB49DAF"/>
    <w:multiLevelType w:val="hybridMultilevel"/>
    <w:lvl w:ilvl="0">
      <w:lvlJc w:val="left"/>
      <w:lvlText w:val="%1"/>
      <w:numFmt w:val="lowerLetter"/>
      <w:start w:val="1"/>
    </w:lvl>
    <w:lvl w:ilvl="1">
      <w:lvlJc w:val="left"/>
      <w:lvlText w:val="(%2)"/>
      <w:numFmt w:val="lowerRoman"/>
      <w:start w:val="2"/>
    </w:lvl>
  </w:abstractNum>
  <w:abstractNum w:abstractNumId="124">
    <w:nsid w:val="759F82CD"/>
    <w:multiLevelType w:val="hybridMultilevel"/>
    <w:lvl w:ilvl="0">
      <w:lvlJc w:val="left"/>
      <w:lvlText w:val="(%1)"/>
      <w:numFmt w:val="lowerLetter"/>
      <w:start w:val="4"/>
    </w:lvl>
    <w:lvl w:ilvl="1">
      <w:lvlJc w:val="left"/>
      <w:lvlText w:val="(%2)"/>
      <w:numFmt w:val="lowerRoman"/>
      <w:start w:val="1"/>
    </w:lvl>
  </w:abstractNum>
  <w:abstractNum w:abstractNumId="125">
    <w:nsid w:val="61E74EA3"/>
    <w:multiLevelType w:val="hybridMultilevel"/>
    <w:lvl w:ilvl="0">
      <w:lvlJc w:val="left"/>
      <w:lvlText w:val="%1"/>
      <w:numFmt w:val="lowerLetter"/>
      <w:start w:val="1"/>
    </w:lvl>
    <w:lvl w:ilvl="1">
      <w:lvlJc w:val="left"/>
      <w:lvlText w:val="(%2)"/>
      <w:numFmt w:val="lowerRoman"/>
      <w:start w:val="2"/>
    </w:lvl>
  </w:abstractNum>
  <w:abstractNum w:abstractNumId="126">
    <w:nsid w:val="597B4D84"/>
    <w:multiLevelType w:val="hybridMultilevel"/>
    <w:lvl w:ilvl="0">
      <w:lvlJc w:val="left"/>
      <w:lvlText w:val="(%1)"/>
      <w:numFmt w:val="lowerLetter"/>
      <w:start w:val="5"/>
    </w:lvl>
    <w:lvl w:ilvl="1">
      <w:lvlJc w:val="left"/>
      <w:lvlText w:val="%2"/>
      <w:numFmt w:val="lowerRoman"/>
      <w:start w:val="1"/>
    </w:lvl>
  </w:abstractNum>
  <w:abstractNum w:abstractNumId="127">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57C7D42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29">
    <w:nsid w:val="312167AD"/>
    <w:multiLevelType w:val="hybridMultilevel"/>
    <w:lvl w:ilvl="0">
      <w:lvlJc w:val="left"/>
      <w:lvlText w:val="%1."/>
      <w:numFmt w:val="decimal"/>
      <w:start w:val="15"/>
    </w:lvl>
  </w:abstractNum>
  <w:abstractNum w:abstractNumId="130">
    <w:nsid w:val="631B64D4"/>
    <w:multiLevelType w:val="hybridMultilevel"/>
    <w:lvl w:ilvl="0">
      <w:lvlJc w:val="left"/>
      <w:lvlText w:val="(%1)"/>
      <w:numFmt w:val="lowerLetter"/>
      <w:start w:val="1"/>
    </w:lvl>
  </w:abstractNum>
  <w:abstractNum w:abstractNumId="131">
    <w:nsid w:val="78B5E7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2">
    <w:nsid w:val="75486E47"/>
    <w:multiLevelType w:val="hybridMultilevel"/>
    <w:lvl w:ilvl="0">
      <w:lvlJc w:val="left"/>
      <w:lvlText w:val="%1"/>
      <w:numFmt w:val="lowerRoman"/>
      <w:start w:val="1"/>
    </w:lvl>
    <w:lvl w:ilvl="1">
      <w:lvlJc w:val="left"/>
      <w:lvlText w:val="(%2)"/>
      <w:numFmt w:val="upperLetter"/>
      <w:start w:val="3"/>
    </w:lvl>
  </w:abstractNum>
  <w:abstractNum w:abstractNumId="133">
    <w:nsid w:val="6E534CDE"/>
    <w:multiLevelType w:val="hybridMultilevel"/>
    <w:lvl w:ilvl="0">
      <w:lvlJc w:val="left"/>
      <w:lvlText w:val="(%1)"/>
      <w:numFmt w:val="lowerRoman"/>
      <w:start w:val="2"/>
    </w:lvl>
    <w:lvl w:ilvl="1">
      <w:lvlJc w:val="left"/>
      <w:lvlText w:val="%2"/>
      <w:numFmt w:val="upperLetter"/>
      <w:start w:val="1"/>
    </w:lvl>
  </w:abstractNum>
  <w:abstractNum w:abstractNumId="134">
    <w:nsid w:val="1A0DDE32"/>
    <w:multiLevelType w:val="hybridMultilevel"/>
    <w:lvl w:ilvl="0">
      <w:lvlJc w:val="left"/>
      <w:lvlText w:val="%1"/>
      <w:numFmt w:val="decimal"/>
      <w:start w:val="1"/>
    </w:lvl>
    <w:lvl w:ilvl="1">
      <w:lvlJc w:val="left"/>
      <w:lvlText w:val="(%2)"/>
      <w:numFmt w:val="lowerLetter"/>
      <w:start w:val="1"/>
    </w:lvl>
  </w:abstractNum>
  <w:abstractNum w:abstractNumId="135">
    <w:nsid w:val="65968C1C"/>
    <w:multiLevelType w:val="hybridMultilevel"/>
    <w:lvl w:ilvl="0">
      <w:lvlJc w:val="left"/>
      <w:lvlText w:val="%1."/>
      <w:numFmt w:val="decimal"/>
      <w:start w:val="16"/>
    </w:lvl>
    <w:lvl w:ilvl="1">
      <w:lvlJc w:val="left"/>
      <w:lvlText w:val="%2"/>
      <w:numFmt w:val="lowerLetter"/>
      <w:start w:val="1"/>
    </w:lvl>
  </w:abstractNum>
  <w:abstractNum w:abstractNumId="136">
    <w:nsid w:val="46263DEC"/>
    <w:multiLevelType w:val="hybridMultilevel"/>
    <w:lvl w:ilvl="0">
      <w:lvlJc w:val="left"/>
      <w:lvlText w:val="(%1)"/>
      <w:numFmt w:val="lowerLetter"/>
      <w:start w:val="1"/>
    </w:lvl>
  </w:abstractNum>
  <w:abstractNum w:abstractNumId="137">
    <w:nsid w:val="260D8C4A"/>
    <w:multiLevelType w:val="hybridMultilevel"/>
    <w:lvl w:ilvl="0">
      <w:lvlJc w:val="left"/>
      <w:lvlText w:val="(%1)"/>
      <w:numFmt w:val="lowerLetter"/>
      <w:start w:val="1"/>
    </w:lvl>
  </w:abstractNum>
  <w:abstractNum w:abstractNumId="138">
    <w:nsid w:val="73D4D3C4"/>
    <w:multiLevelType w:val="hybridMultilevel"/>
    <w:lvl w:ilvl="0">
      <w:lvlJc w:val="left"/>
      <w:lvlText w:val="(%1)"/>
      <w:numFmt w:val="lowerLetter"/>
      <w:start w:val="1"/>
    </w:lvl>
  </w:abstractNum>
  <w:abstractNum w:abstractNumId="139">
    <w:nsid w:val="746F2E30"/>
    <w:multiLevelType w:val="hybridMultilevel"/>
    <w:lvl w:ilvl="0">
      <w:lvlJc w:val="left"/>
      <w:lvlText w:val="(%1)"/>
      <w:numFmt w:val="lowerLetter"/>
      <w:start w:val="1"/>
    </w:lvl>
  </w:abstractNum>
  <w:abstractNum w:abstractNumId="140">
    <w:nsid w:val="6FDE8AF6"/>
    <w:multiLevelType w:val="hybridMultilevel"/>
    <w:lvl w:ilvl="0">
      <w:lvlJc w:val="left"/>
      <w:lvlText w:val="%1"/>
      <w:numFmt w:val="decimal"/>
      <w:start w:val="1"/>
    </w:lvl>
    <w:lvl w:ilvl="1">
      <w:lvlJc w:val="left"/>
      <w:lvlText w:val="(%2)"/>
      <w:numFmt w:val="lowerLetter"/>
      <w:start w:val="1"/>
    </w:lvl>
  </w:abstractNum>
  <w:abstractNum w:abstractNumId="141">
    <w:nsid w:val="3FC32E20"/>
    <w:multiLevelType w:val="hybridMultilevel"/>
    <w:lvl w:ilvl="0">
      <w:lvlJc w:val="left"/>
      <w:lvlText w:val="%1."/>
      <w:numFmt w:val="decimal"/>
      <w:start w:val="17"/>
    </w:lvl>
    <w:lvl w:ilvl="1">
      <w:lvlJc w:val="left"/>
      <w:lvlText w:val="%2"/>
      <w:numFmt w:val="lowerLetter"/>
      <w:start w:val="1"/>
    </w:lvl>
  </w:abstractNum>
  <w:abstractNum w:abstractNumId="142">
    <w:nsid w:val="49C0E823"/>
    <w:multiLevelType w:val="hybridMultilevel"/>
    <w:lvl w:ilvl="0">
      <w:lvlJc w:val="left"/>
      <w:lvlText w:val="%1."/>
      <w:numFmt w:val="decimal"/>
      <w:start w:val="18"/>
    </w:lvl>
    <w:lvl w:ilvl="1">
      <w:lvlJc w:val="left"/>
      <w:lvlText w:val="(%2)"/>
      <w:numFmt w:val="lowerLetter"/>
      <w:start w:val="1"/>
    </w:lvl>
  </w:abstractNum>
  <w:abstractNum w:abstractNumId="143">
    <w:nsid w:val="14D53685"/>
    <w:multiLevelType w:val="hybridMultilevel"/>
    <w:lvl w:ilvl="0">
      <w:lvlJc w:val="left"/>
      <w:lvlText w:val="(%1)"/>
      <w:numFmt w:val="lowerLetter"/>
      <w:start w:val="1"/>
    </w:lvl>
  </w:abstractNum>
  <w:abstractNum w:abstractNumId="144">
    <w:nsid w:val="230F856C"/>
    <w:multiLevelType w:val="hybridMultilevel"/>
    <w:lvl w:ilvl="0">
      <w:lvlJc w:val="left"/>
      <w:lvlText w:val="(%1)"/>
      <w:numFmt w:val="lowerLetter"/>
      <w:start w:val="2"/>
    </w:lvl>
    <w:lvl w:ilvl="1">
      <w:lvlJc w:val="left"/>
      <w:lvlText w:val="(%2)"/>
      <w:numFmt w:val="lowerRoman"/>
      <w:start w:val="1"/>
    </w:lvl>
  </w:abstractNum>
  <w:abstractNum w:abstractNumId="145">
    <w:nsid w:val="6EAA85FB"/>
    <w:multiLevelType w:val="hybridMultilevel"/>
    <w:lvl w:ilvl="0">
      <w:lvlJc w:val="left"/>
      <w:lvlText w:val="(%1)"/>
      <w:numFmt w:val="lowerLetter"/>
      <w:start w:val="1"/>
    </w:lvl>
  </w:abstractNum>
  <w:abstractNum w:abstractNumId="146">
    <w:nsid w:val="3F06ECB2"/>
    <w:multiLevelType w:val="hybridMultilevel"/>
    <w:lvl w:ilvl="0">
      <w:lvlJc w:val="left"/>
      <w:lvlText w:val="(%1)"/>
      <w:numFmt w:val="lowerLetter"/>
      <w:start w:val="1"/>
    </w:lvl>
  </w:abstractNum>
  <w:abstractNum w:abstractNumId="147">
    <w:nsid w:val="3B594807"/>
    <w:multiLevelType w:val="hybridMultilevel"/>
    <w:lvl w:ilvl="0">
      <w:lvlJc w:val="left"/>
      <w:lvlText w:val="(%1)"/>
      <w:numFmt w:val="lowerLetter"/>
      <w:start w:val="1"/>
    </w:lvl>
  </w:abstractNum>
  <w:abstractNum w:abstractNumId="148">
    <w:nsid w:val="6CAA2304"/>
    <w:multiLevelType w:val="hybridMultilevel"/>
    <w:lvl w:ilvl="0">
      <w:lvlJc w:val="left"/>
      <w:lvlText w:val="(%1)"/>
      <w:numFmt w:val="lowerLetter"/>
      <w:start w:val="1"/>
    </w:lvl>
  </w:abstractNum>
  <w:abstractNum w:abstractNumId="149">
    <w:nsid w:val="3F7C2FF4"/>
    <w:multiLevelType w:val="hybridMultilevel"/>
    <w:lvl w:ilvl="0">
      <w:lvlJc w:val="left"/>
      <w:lvlText w:val="(%1)"/>
      <w:numFmt w:val="lowerLetter"/>
      <w:start w:val="1"/>
    </w:lvl>
    <w:lvl w:ilvl="1">
      <w:lvlJc w:val="left"/>
      <w:lvlText w:val="(%2)"/>
      <w:numFmt w:val="lowerRoman"/>
      <w:start w:val="1"/>
    </w:lvl>
  </w:abstractNum>
  <w:abstractNum w:abstractNumId="150">
    <w:nsid w:val="25413BEC"/>
    <w:multiLevelType w:val="hybridMultilevel"/>
    <w:lvl w:ilvl="0">
      <w:lvlJc w:val="left"/>
      <w:lvlText w:val="(%1)"/>
      <w:numFmt w:val="lowerLetter"/>
      <w:start w:val="3"/>
    </w:lvl>
    <w:lvl w:ilvl="1">
      <w:lvlJc w:val="left"/>
      <w:lvlText w:val="(%2)"/>
      <w:numFmt w:val="lowerRoman"/>
      <w:start w:val="1"/>
    </w:lvl>
  </w:abstractNum>
  <w:abstractNum w:abstractNumId="151">
    <w:nsid w:val="17180B0B"/>
    <w:multiLevelType w:val="hybridMultilevel"/>
    <w:lvl w:ilvl="0">
      <w:lvlJc w:val="left"/>
      <w:lvlText w:val="%1."/>
      <w:numFmt w:val="decimal"/>
      <w:start w:val="19"/>
    </w:lvl>
  </w:abstractNum>
  <w:abstractNum w:abstractNumId="152">
    <w:nsid w:val="579328B9"/>
    <w:multiLevelType w:val="hybridMultilevel"/>
    <w:lvl w:ilvl="0">
      <w:lvlJc w:val="left"/>
      <w:lvlText w:val="%1."/>
      <w:numFmt w:val="decimal"/>
      <w:start w:val="20"/>
    </w:lvl>
  </w:abstractNum>
  <w:abstractNum w:abstractNumId="153">
    <w:nsid w:val="5D205E20"/>
    <w:multiLevelType w:val="hybridMultilevel"/>
    <w:lvl w:ilvl="0">
      <w:lvlJc w:val="left"/>
      <w:lvlText w:val="(%1)"/>
      <w:numFmt w:val="lowerLetter"/>
      <w:start w:val="1"/>
    </w:lvl>
  </w:abstractNum>
  <w:abstractNum w:abstractNumId="154">
    <w:nsid w:val="11CCA8BA"/>
    <w:multiLevelType w:val="hybridMultilevel"/>
    <w:lvl w:ilvl="0">
      <w:lvlJc w:val="left"/>
      <w:lvlText w:val="(%1)"/>
      <w:numFmt w:val="lowerLetter"/>
      <w:start w:val="2"/>
    </w:lvl>
  </w:abstractNum>
  <w:abstractNum w:abstractNumId="155">
    <w:nsid w:val="4D32AB86"/>
    <w:multiLevelType w:val="hybridMultilevel"/>
    <w:lvl w:ilvl="0">
      <w:lvlJc w:val="left"/>
      <w:lvlText w:val="(%1)"/>
      <w:numFmt w:val="lowerLetter"/>
      <w:start w:val="1"/>
    </w:lvl>
  </w:abstractNum>
  <w:abstractNum w:abstractNumId="156">
    <w:nsid w:val="3F07ACC3"/>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157">
    <w:nsid w:val="6B47F63E"/>
    <w:multiLevelType w:val="hybridMultilevel"/>
    <w:lvl w:ilvl="0">
      <w:lvlJc w:val="left"/>
      <w:lvlText w:val="%1"/>
      <w:numFmt w:val="decimal"/>
      <w:start w:val="1"/>
    </w:lvl>
    <w:lvl w:ilvl="1">
      <w:lvlJc w:val="left"/>
      <w:lvlText w:val="(%2)"/>
      <w:numFmt w:val="lowerLetter"/>
      <w:start w:val="5"/>
    </w:lvl>
  </w:abstractNum>
  <w:abstractNum w:abstractNumId="158">
    <w:nsid w:val="5CB44A05"/>
    <w:multiLevelType w:val="hybridMultilevel"/>
    <w:lvl w:ilvl="0">
      <w:lvlJc w:val="left"/>
      <w:lvlText w:val="%1."/>
      <w:numFmt w:val="decimal"/>
      <w:start w:val="22"/>
    </w:lvl>
    <w:lvl w:ilvl="1">
      <w:lvlJc w:val="left"/>
      <w:lvlText w:val="%2"/>
      <w:numFmt w:val="lowerLetter"/>
      <w:start w:val="1"/>
    </w:lvl>
  </w:abstractNum>
  <w:abstractNum w:abstractNumId="159">
    <w:nsid w:val="16CF80F1"/>
    <w:multiLevelType w:val="hybridMultilevel"/>
    <w:lvl w:ilvl="0">
      <w:lvlJc w:val="left"/>
      <w:lvlText w:val="(%1)"/>
      <w:numFmt w:val="lowerLetter"/>
      <w:start w:val="1"/>
    </w:lvl>
  </w:abstractNum>
  <w:abstractNum w:abstractNumId="160">
    <w:nsid w:val="1C695DEC"/>
    <w:multiLevelType w:val="hybridMultilevel"/>
    <w:lvl w:ilvl="0">
      <w:lvlJc w:val="left"/>
      <w:lvlText w:val="(%1)"/>
      <w:numFmt w:val="lowerLetter"/>
      <w:start w:val="1"/>
    </w:lvl>
  </w:abstractNum>
  <w:abstractNum w:abstractNumId="161">
    <w:nsid w:val="3FCFAED9"/>
    <w:multiLevelType w:val="hybridMultilevel"/>
    <w:lvl w:ilvl="0">
      <w:lvlJc w:val="left"/>
      <w:lvlText w:val="(%1)"/>
      <w:numFmt w:val="lowerLetter"/>
      <w:start w:val="3"/>
    </w:lvl>
  </w:abstractNum>
  <w:abstractNum w:abstractNumId="162">
    <w:nsid w:val="F8568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2026-06-03T15:40:50Z</dcterms:created>
  <dcterms:modified xsi:type="dcterms:W3CDTF">2026-06-03T15:40:50Z</dcterms:modified>
</cp:coreProperties>
</file>